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FB83C">
      <w:pPr>
        <w:jc w:val="center"/>
        <w:rPr>
          <w:szCs w:val="32"/>
        </w:rPr>
      </w:pPr>
    </w:p>
    <w:p w14:paraId="6A8D3053">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1EA59889">
      <w:pPr>
        <w:snapToGrid w:val="0"/>
        <w:spacing w:line="720" w:lineRule="atLeast"/>
        <w:jc w:val="center"/>
        <w:rPr>
          <w:rFonts w:hint="eastAsia" w:eastAsia="方正小标宋_GBK"/>
          <w:snapToGrid w:val="0"/>
          <w:kern w:val="0"/>
          <w:sz w:val="44"/>
          <w:szCs w:val="44"/>
        </w:rPr>
      </w:pPr>
      <w:bookmarkStart w:id="0" w:name="_Toc394478156"/>
      <w:bookmarkStart w:id="1" w:name="_Toc12626"/>
      <w:bookmarkStart w:id="2" w:name="_Toc381711565"/>
      <w:r>
        <w:rPr>
          <w:rFonts w:hint="eastAsia" w:eastAsia="方正小标宋_GBK"/>
          <w:snapToGrid w:val="0"/>
          <w:kern w:val="0"/>
          <w:sz w:val="44"/>
          <w:szCs w:val="44"/>
        </w:rPr>
        <w:t>重庆市药品监督管理局</w:t>
      </w:r>
    </w:p>
    <w:p w14:paraId="6CFA8878">
      <w:pPr>
        <w:snapToGrid w:val="0"/>
        <w:spacing w:line="720" w:lineRule="atLeast"/>
        <w:jc w:val="center"/>
        <w:rPr>
          <w:rFonts w:eastAsia="方正小标宋_GBK"/>
          <w:snapToGrid w:val="0"/>
          <w:kern w:val="0"/>
          <w:sz w:val="44"/>
          <w:szCs w:val="44"/>
        </w:rPr>
      </w:pPr>
      <w:r>
        <w:rPr>
          <w:rFonts w:hint="eastAsia" w:eastAsia="方正小标宋_GBK"/>
          <w:snapToGrid w:val="0"/>
          <w:spacing w:val="-6"/>
          <w:kern w:val="0"/>
          <w:sz w:val="44"/>
          <w:szCs w:val="44"/>
        </w:rPr>
        <w:t>关于印发《重庆市“两品一械”企业</w:t>
      </w:r>
    </w:p>
    <w:p w14:paraId="68F350D4">
      <w:pPr>
        <w:snapToGrid w:val="0"/>
        <w:spacing w:line="720" w:lineRule="atLeast"/>
        <w:jc w:val="center"/>
        <w:rPr>
          <w:rFonts w:hint="eastAsia" w:eastAsia="方正小标宋_GBK"/>
          <w:snapToGrid w:val="0"/>
          <w:kern w:val="0"/>
          <w:sz w:val="44"/>
          <w:szCs w:val="44"/>
        </w:rPr>
      </w:pPr>
      <w:r>
        <w:rPr>
          <w:rFonts w:hint="eastAsia" w:eastAsia="方正小标宋_GBK"/>
          <w:snapToGrid w:val="0"/>
          <w:kern w:val="0"/>
          <w:sz w:val="44"/>
          <w:szCs w:val="44"/>
        </w:rPr>
        <w:t>质量安全主体责任清单》的通知</w:t>
      </w:r>
    </w:p>
    <w:p w14:paraId="0895428C">
      <w:pPr>
        <w:snapToGrid w:val="0"/>
        <w:spacing w:line="620" w:lineRule="exact"/>
        <w:jc w:val="center"/>
        <w:rPr>
          <w:rFonts w:hint="eastAsia" w:ascii="方正仿宋_GBK" w:hAnsi="方正仿宋_GBK" w:eastAsia="方正仿宋_GBK" w:cs="方正仿宋_GBK"/>
          <w:sz w:val="32"/>
          <w:szCs w:val="32"/>
        </w:rPr>
      </w:pPr>
      <w:bookmarkStart w:id="3" w:name="edocWordNum"/>
      <w:r>
        <w:rPr>
          <w:rFonts w:hint="eastAsia" w:ascii="方正仿宋_GBK" w:hAnsi="方正仿宋_GBK" w:eastAsia="方正仿宋_GBK" w:cs="方正仿宋_GBK"/>
          <w:sz w:val="32"/>
          <w:szCs w:val="32"/>
        </w:rPr>
        <w:t>渝药监〔2025〕19号</w:t>
      </w:r>
      <w:bookmarkEnd w:id="3"/>
    </w:p>
    <w:p w14:paraId="388BF976">
      <w:pPr>
        <w:snapToGrid w:val="0"/>
        <w:spacing w:line="720" w:lineRule="atLeast"/>
        <w:jc w:val="center"/>
        <w:rPr>
          <w:rFonts w:hint="eastAsia" w:eastAsia="方正小标宋_GBK"/>
          <w:snapToGrid w:val="0"/>
          <w:kern w:val="0"/>
          <w:sz w:val="44"/>
          <w:szCs w:val="44"/>
        </w:rPr>
      </w:pPr>
    </w:p>
    <w:p w14:paraId="12EAF96C">
      <w:pPr>
        <w:snapToGrid w:val="0"/>
        <w:spacing w:line="600" w:lineRule="exact"/>
        <w:rPr>
          <w:rFonts w:hint="eastAsia" w:ascii="方正仿宋_GBK" w:hAnsi="方正仿宋_GBK" w:eastAsia="方正仿宋_GBK" w:cs="方正仿宋_GBK"/>
          <w:snapToGrid w:val="0"/>
          <w:kern w:val="0"/>
          <w:sz w:val="32"/>
          <w:szCs w:val="32"/>
        </w:rPr>
      </w:pPr>
    </w:p>
    <w:p w14:paraId="18C79190">
      <w:pPr>
        <w:snapToGrid w:val="0"/>
        <w:spacing w:line="600" w:lineRule="exact"/>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有关单位，各区县（自治县）市场监管局，两江新区、重庆高新区、万盛经开区市场监管局，局属各检查局、市食药检院、市药审中心、市药品监测中心、重庆器械检验中心，局机关相关处室：</w:t>
      </w:r>
    </w:p>
    <w:p w14:paraId="014A7763">
      <w:pPr>
        <w:snapToGrid w:val="0"/>
        <w:spacing w:line="600" w:lineRule="exact"/>
        <w:ind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为进一步完善药品安全责任体系，推动药品、医疗器械、化妆品质量安全主体责任落实，切实保障全生命周期质量安全，现印发《重庆市“两品一械”企业质量安全主体责任清单》，请遵照执行。</w:t>
      </w:r>
    </w:p>
    <w:p w14:paraId="75E3A52D">
      <w:pPr>
        <w:tabs>
          <w:tab w:val="left" w:pos="8789"/>
        </w:tabs>
        <w:snapToGrid w:val="0"/>
        <w:spacing w:line="600" w:lineRule="exact"/>
        <w:ind w:firstLine="640" w:firstLineChars="200"/>
        <w:rPr>
          <w:rFonts w:hint="eastAsia" w:ascii="方正仿宋_GBK" w:hAnsi="方正仿宋_GBK" w:eastAsia="方正仿宋_GBK" w:cs="方正仿宋_GBK"/>
          <w:snapToGrid w:val="0"/>
          <w:kern w:val="0"/>
          <w:sz w:val="32"/>
          <w:szCs w:val="32"/>
        </w:rPr>
      </w:pPr>
    </w:p>
    <w:p w14:paraId="78C864BA">
      <w:pPr>
        <w:tabs>
          <w:tab w:val="left" w:pos="8789"/>
        </w:tabs>
        <w:snapToGrid w:val="0"/>
        <w:spacing w:line="600" w:lineRule="exact"/>
        <w:ind w:firstLine="640" w:firstLineChars="200"/>
        <w:rPr>
          <w:rFonts w:hint="eastAsia" w:ascii="方正仿宋_GBK" w:hAnsi="方正仿宋_GBK" w:eastAsia="方正仿宋_GBK" w:cs="方正仿宋_GBK"/>
          <w:snapToGrid w:val="0"/>
          <w:kern w:val="0"/>
          <w:sz w:val="32"/>
          <w:szCs w:val="32"/>
        </w:rPr>
      </w:pPr>
    </w:p>
    <w:p w14:paraId="7EA3CD57">
      <w:pPr>
        <w:tabs>
          <w:tab w:val="left" w:pos="8789"/>
        </w:tabs>
        <w:snapToGrid w:val="0"/>
        <w:spacing w:line="600" w:lineRule="exact"/>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                              重庆市药品监督管理局</w:t>
      </w:r>
    </w:p>
    <w:p w14:paraId="35367DC5">
      <w:pPr>
        <w:tabs>
          <w:tab w:val="left" w:pos="8789"/>
        </w:tabs>
        <w:snapToGrid w:val="0"/>
        <w:spacing w:line="600" w:lineRule="exact"/>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                                2025年10月31日</w:t>
      </w:r>
    </w:p>
    <w:p w14:paraId="7DDE364C">
      <w:pPr>
        <w:snapToGrid w:val="0"/>
        <w:spacing w:line="494" w:lineRule="exact"/>
        <w:ind w:firstLine="632"/>
        <w:rPr>
          <w:rFonts w:ascii="方正仿宋_GBK" w:hAnsi="方正仿宋_GBK" w:eastAsia="方正仿宋_GBK" w:cs="方正仿宋_GBK"/>
          <w:color w:val="000000"/>
          <w:sz w:val="32"/>
          <w:szCs w:val="32"/>
          <w:shd w:val="clear" w:color="080000" w:fill="FFFFFF"/>
        </w:rPr>
      </w:pPr>
      <w:r>
        <w:rPr>
          <w:rFonts w:hint="eastAsia" w:ascii="方正仿宋_GBK" w:hAnsi="方正仿宋_GBK" w:eastAsia="方正仿宋_GBK" w:cs="方正仿宋_GBK"/>
          <w:snapToGrid w:val="0"/>
          <w:kern w:val="0"/>
          <w:sz w:val="32"/>
          <w:szCs w:val="32"/>
        </w:rPr>
        <w:t>（此件主动公开）</w:t>
      </w:r>
    </w:p>
    <w:bookmarkEnd w:id="0"/>
    <w:bookmarkEnd w:id="1"/>
    <w:bookmarkEnd w:id="2"/>
    <w:p w14:paraId="1DDB58BF">
      <w:pPr>
        <w:pStyle w:val="17"/>
        <w:snapToGrid w:val="0"/>
        <w:spacing w:line="600" w:lineRule="exact"/>
        <w:rPr>
          <w:rFonts w:ascii="方正仿宋_GBK" w:hAnsi="方正仿宋_GBK" w:eastAsia="方正仿宋_GBK" w:cs="方正仿宋_GBK"/>
          <w:sz w:val="32"/>
          <w:shd w:val="clear" w:color="auto" w:fill="FFFFFF"/>
        </w:rPr>
        <w:sectPr>
          <w:headerReference r:id="rId3" w:type="default"/>
          <w:footerReference r:id="rId4" w:type="default"/>
          <w:pgSz w:w="11906" w:h="16838"/>
          <w:pgMar w:top="1962" w:right="1474" w:bottom="1848" w:left="1587" w:header="851" w:footer="992" w:gutter="0"/>
          <w:pgNumType w:fmt="numberInDash"/>
          <w:cols w:space="720" w:num="1"/>
          <w:docGrid w:type="lines" w:linePitch="312" w:charSpace="0"/>
        </w:sectPr>
      </w:pPr>
    </w:p>
    <w:p w14:paraId="41D80927">
      <w:pPr>
        <w:snapToGrid w:val="0"/>
        <w:spacing w:line="480" w:lineRule="exact"/>
        <w:jc w:val="center"/>
        <w:rPr>
          <w:rFonts w:eastAsia="方正小标宋_GBK" w:cs="方正小标宋_GBK"/>
          <w:b/>
          <w:bCs/>
          <w:snapToGrid w:val="0"/>
          <w:sz w:val="44"/>
          <w:szCs w:val="44"/>
        </w:rPr>
      </w:pPr>
      <w:r>
        <w:rPr>
          <w:rFonts w:hint="eastAsia" w:eastAsia="方正小标宋_GBK" w:cs="方正小标宋_GBK"/>
          <w:b/>
          <w:bCs/>
          <w:snapToGrid w:val="0"/>
          <w:sz w:val="44"/>
          <w:szCs w:val="44"/>
        </w:rPr>
        <w:t>重庆市“两品一械”企业质量安全主体责任清单</w:t>
      </w:r>
    </w:p>
    <w:p w14:paraId="4FAF974B">
      <w:pPr>
        <w:snapToGrid w:val="0"/>
        <w:spacing w:line="480" w:lineRule="exact"/>
        <w:jc w:val="center"/>
        <w:rPr>
          <w:rFonts w:eastAsia="方正小标宋_GBK" w:cs="方正小标宋简体"/>
          <w:b/>
          <w:sz w:val="36"/>
          <w:szCs w:val="44"/>
        </w:rPr>
      </w:pPr>
    </w:p>
    <w:tbl>
      <w:tblPr>
        <w:tblStyle w:val="9"/>
        <w:tblW w:w="15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37"/>
        <w:gridCol w:w="8505"/>
        <w:gridCol w:w="5500"/>
      </w:tblGrid>
      <w:tr w14:paraId="2E4E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741" w:type="dxa"/>
            <w:vAlign w:val="center"/>
          </w:tcPr>
          <w:p w14:paraId="54F7F34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表1</w:t>
            </w:r>
          </w:p>
        </w:tc>
        <w:tc>
          <w:tcPr>
            <w:tcW w:w="14742" w:type="dxa"/>
            <w:gridSpan w:val="3"/>
            <w:vAlign w:val="center"/>
          </w:tcPr>
          <w:p w14:paraId="3D11500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药物临床试验机构主体责任清单</w:t>
            </w:r>
          </w:p>
        </w:tc>
      </w:tr>
      <w:tr w14:paraId="38F8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blHeader/>
          <w:jc w:val="center"/>
        </w:trPr>
        <w:tc>
          <w:tcPr>
            <w:tcW w:w="741" w:type="dxa"/>
            <w:vAlign w:val="center"/>
          </w:tcPr>
          <w:p w14:paraId="1E1E9B2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分类</w:t>
            </w:r>
          </w:p>
        </w:tc>
        <w:tc>
          <w:tcPr>
            <w:tcW w:w="737" w:type="dxa"/>
            <w:vAlign w:val="center"/>
          </w:tcPr>
          <w:p w14:paraId="7F271BB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序号</w:t>
            </w:r>
          </w:p>
        </w:tc>
        <w:tc>
          <w:tcPr>
            <w:tcW w:w="8505" w:type="dxa"/>
            <w:vAlign w:val="center"/>
          </w:tcPr>
          <w:p w14:paraId="2FA34F3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主体责任</w:t>
            </w:r>
          </w:p>
        </w:tc>
        <w:tc>
          <w:tcPr>
            <w:tcW w:w="5500" w:type="dxa"/>
            <w:vAlign w:val="center"/>
          </w:tcPr>
          <w:p w14:paraId="55327BF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责任依据</w:t>
            </w:r>
          </w:p>
        </w:tc>
      </w:tr>
      <w:tr w14:paraId="70B5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741" w:type="dxa"/>
            <w:vMerge w:val="restart"/>
            <w:vAlign w:val="center"/>
          </w:tcPr>
          <w:p w14:paraId="3A4D245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资质条件</w:t>
            </w:r>
          </w:p>
        </w:tc>
        <w:tc>
          <w:tcPr>
            <w:tcW w:w="737" w:type="dxa"/>
            <w:vAlign w:val="center"/>
          </w:tcPr>
          <w:p w14:paraId="13AA294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w:t>
            </w:r>
          </w:p>
        </w:tc>
        <w:tc>
          <w:tcPr>
            <w:tcW w:w="8505" w:type="dxa"/>
            <w:vAlign w:val="center"/>
          </w:tcPr>
          <w:p w14:paraId="461F92AE">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具有医疗机构执业许可证，具有二级甲等以上资质，试验场地应当符合所在区域卫生健康主管部门对院区（场地）管理规定。开展以患者为受试者的药物临床试验的专业应当与医疗机构执业许可的诊疗科目相一致。开展健康受试者的Ⅰ期药物临床试验、生物等效性试验应当为Ⅰ期临床试验研究室专业。（</w:t>
            </w:r>
            <w:r>
              <w:rPr>
                <w:rFonts w:hint="eastAsia" w:ascii="方正仿宋_GBK" w:hAnsi="方正仿宋_GBK" w:eastAsia="方正仿宋_GBK" w:cs="方正仿宋_GBK"/>
                <w:kern w:val="0"/>
                <w:sz w:val="18"/>
                <w:szCs w:val="18"/>
              </w:rPr>
              <w:t>药物临床试验机构为疾病预防控制机构的</w:t>
            </w:r>
            <w:r>
              <w:rPr>
                <w:rFonts w:hint="eastAsia" w:ascii="方正仿宋_GBK" w:hAnsi="方正仿宋_GBK" w:eastAsia="方正仿宋_GBK" w:cs="方正仿宋_GBK"/>
                <w:sz w:val="18"/>
                <w:szCs w:val="18"/>
              </w:rPr>
              <w:t>除外）</w:t>
            </w:r>
          </w:p>
        </w:tc>
        <w:tc>
          <w:tcPr>
            <w:tcW w:w="5500" w:type="dxa"/>
            <w:vAlign w:val="center"/>
          </w:tcPr>
          <w:p w14:paraId="24C3182D">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《中华人民共和国药品管理法》第十九条；《药品注册管理办法》第二十二条；《药物临床试验机构管理规定》第五条。</w:t>
            </w:r>
          </w:p>
        </w:tc>
      </w:tr>
      <w:tr w14:paraId="339A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41" w:type="dxa"/>
            <w:vMerge w:val="continue"/>
            <w:vAlign w:val="center"/>
          </w:tcPr>
          <w:p w14:paraId="3A0D379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75E9B06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w:t>
            </w:r>
          </w:p>
        </w:tc>
        <w:tc>
          <w:tcPr>
            <w:tcW w:w="8505" w:type="dxa"/>
            <w:vAlign w:val="center"/>
          </w:tcPr>
          <w:p w14:paraId="14E73041">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具有与开展药物临床试验相适应的诊疗技术能力。</w:t>
            </w:r>
          </w:p>
        </w:tc>
        <w:tc>
          <w:tcPr>
            <w:tcW w:w="5500" w:type="dxa"/>
            <w:vMerge w:val="restart"/>
            <w:vAlign w:val="center"/>
          </w:tcPr>
          <w:p w14:paraId="0CB2E993">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《中华人民共和国药品管理法》第十九条；《中华人民共和国疫苗管理法》第十六条；《药品注册管理办法》第二十二条；《药物临床试验机构管理规定》第五条。</w:t>
            </w:r>
          </w:p>
        </w:tc>
      </w:tr>
      <w:tr w14:paraId="32C8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41" w:type="dxa"/>
            <w:vMerge w:val="continue"/>
            <w:vAlign w:val="center"/>
          </w:tcPr>
          <w:p w14:paraId="712182B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7CA426F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w:t>
            </w:r>
          </w:p>
        </w:tc>
        <w:tc>
          <w:tcPr>
            <w:tcW w:w="8505" w:type="dxa"/>
            <w:vAlign w:val="center"/>
          </w:tcPr>
          <w:p w14:paraId="3A697D13">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具有与药物临床试验相适应的独立的工作场所、独立的临床试验用药房、独立的资料室，以及必要的设备设施。</w:t>
            </w:r>
          </w:p>
        </w:tc>
        <w:tc>
          <w:tcPr>
            <w:tcW w:w="5500" w:type="dxa"/>
            <w:vMerge w:val="continue"/>
            <w:vAlign w:val="center"/>
          </w:tcPr>
          <w:p w14:paraId="7289C83C">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p>
        </w:tc>
      </w:tr>
      <w:tr w14:paraId="3BEB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41" w:type="dxa"/>
            <w:vMerge w:val="continue"/>
            <w:vAlign w:val="center"/>
          </w:tcPr>
          <w:p w14:paraId="54B3DF5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466D3A7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w:t>
            </w:r>
          </w:p>
        </w:tc>
        <w:tc>
          <w:tcPr>
            <w:tcW w:w="8505" w:type="dxa"/>
            <w:vAlign w:val="center"/>
          </w:tcPr>
          <w:p w14:paraId="412AFA35">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具有掌握药物临床试验技术与相关法规，能承担药物临床试验的研究人员；其中主要研究者应当具有高级职称并参加过3个以上药物临床试验。</w:t>
            </w:r>
          </w:p>
        </w:tc>
        <w:tc>
          <w:tcPr>
            <w:tcW w:w="5500" w:type="dxa"/>
            <w:vMerge w:val="continue"/>
            <w:vAlign w:val="center"/>
          </w:tcPr>
          <w:p w14:paraId="097D508C">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p>
        </w:tc>
      </w:tr>
      <w:tr w14:paraId="32AA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41" w:type="dxa"/>
            <w:vMerge w:val="continue"/>
            <w:vAlign w:val="center"/>
          </w:tcPr>
          <w:p w14:paraId="179572D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5513506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w:t>
            </w:r>
          </w:p>
        </w:tc>
        <w:tc>
          <w:tcPr>
            <w:tcW w:w="8505" w:type="dxa"/>
            <w:vAlign w:val="center"/>
          </w:tcPr>
          <w:p w14:paraId="6EE2625C">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开展药物临床试验的专业具有与承担药物临床试验相适应的床位数、门急诊量。（</w:t>
            </w:r>
            <w:r>
              <w:rPr>
                <w:rFonts w:hint="eastAsia" w:ascii="方正仿宋_GBK" w:hAnsi="方正仿宋_GBK" w:eastAsia="方正仿宋_GBK" w:cs="方正仿宋_GBK"/>
                <w:kern w:val="0"/>
                <w:sz w:val="18"/>
                <w:szCs w:val="18"/>
              </w:rPr>
              <w:t>药物临床试验机构为疾病预防控制机构的</w:t>
            </w:r>
            <w:r>
              <w:rPr>
                <w:rFonts w:hint="eastAsia" w:ascii="方正仿宋_GBK" w:hAnsi="方正仿宋_GBK" w:eastAsia="方正仿宋_GBK" w:cs="方正仿宋_GBK"/>
                <w:sz w:val="18"/>
                <w:szCs w:val="18"/>
              </w:rPr>
              <w:t>除外）</w:t>
            </w:r>
          </w:p>
        </w:tc>
        <w:tc>
          <w:tcPr>
            <w:tcW w:w="5500" w:type="dxa"/>
            <w:vMerge w:val="restart"/>
            <w:vAlign w:val="center"/>
          </w:tcPr>
          <w:p w14:paraId="4F8FCC49">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《中华人民共和国药品管理法》第十九条；《药品注册管理办法》第二十二条；《药物临床试验机构管理规定》第五条。</w:t>
            </w:r>
          </w:p>
        </w:tc>
      </w:tr>
      <w:tr w14:paraId="2F91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41" w:type="dxa"/>
            <w:vMerge w:val="continue"/>
            <w:vAlign w:val="center"/>
          </w:tcPr>
          <w:p w14:paraId="6EA7201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6DAE7D0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w:t>
            </w:r>
          </w:p>
        </w:tc>
        <w:tc>
          <w:tcPr>
            <w:tcW w:w="8505" w:type="dxa"/>
            <w:vAlign w:val="center"/>
          </w:tcPr>
          <w:p w14:paraId="581F1C6D">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具有急危重病症抢救的设施设备、人员与处置能力。（</w:t>
            </w:r>
            <w:r>
              <w:rPr>
                <w:rFonts w:hint="eastAsia" w:ascii="方正仿宋_GBK" w:hAnsi="方正仿宋_GBK" w:eastAsia="方正仿宋_GBK" w:cs="方正仿宋_GBK"/>
                <w:kern w:val="0"/>
                <w:sz w:val="18"/>
                <w:szCs w:val="18"/>
              </w:rPr>
              <w:t>药物临床试验机构为疾病预防控制机构的</w:t>
            </w:r>
            <w:r>
              <w:rPr>
                <w:rFonts w:hint="eastAsia" w:ascii="方正仿宋_GBK" w:hAnsi="方正仿宋_GBK" w:eastAsia="方正仿宋_GBK" w:cs="方正仿宋_GBK"/>
                <w:sz w:val="18"/>
                <w:szCs w:val="18"/>
              </w:rPr>
              <w:t>除外）</w:t>
            </w:r>
          </w:p>
        </w:tc>
        <w:tc>
          <w:tcPr>
            <w:tcW w:w="5500" w:type="dxa"/>
            <w:vMerge w:val="continue"/>
            <w:vAlign w:val="center"/>
          </w:tcPr>
          <w:p w14:paraId="537AE891">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p>
        </w:tc>
      </w:tr>
      <w:tr w14:paraId="582E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741" w:type="dxa"/>
            <w:vMerge w:val="restart"/>
            <w:vAlign w:val="center"/>
          </w:tcPr>
          <w:p w14:paraId="3B33A0B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资质条件</w:t>
            </w:r>
          </w:p>
        </w:tc>
        <w:tc>
          <w:tcPr>
            <w:tcW w:w="737" w:type="dxa"/>
            <w:vAlign w:val="center"/>
          </w:tcPr>
          <w:p w14:paraId="6183783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w:t>
            </w:r>
          </w:p>
        </w:tc>
        <w:tc>
          <w:tcPr>
            <w:tcW w:w="8505" w:type="dxa"/>
            <w:vAlign w:val="center"/>
          </w:tcPr>
          <w:p w14:paraId="097976E9">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具有承担药物临床试验组织管理的专门部门。</w:t>
            </w:r>
          </w:p>
        </w:tc>
        <w:tc>
          <w:tcPr>
            <w:tcW w:w="5500" w:type="dxa"/>
            <w:vMerge w:val="restart"/>
            <w:vAlign w:val="center"/>
          </w:tcPr>
          <w:p w14:paraId="5C283BA0">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《中华人民共和国药品管理法》第十九条；《中华人民共和国疫苗管理法》第十六条；《药品注册管理办法》第二十二条；《药物临床试验机构管理规定》第五条。</w:t>
            </w:r>
          </w:p>
        </w:tc>
      </w:tr>
      <w:tr w14:paraId="7E6E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741" w:type="dxa"/>
            <w:vMerge w:val="continue"/>
            <w:vAlign w:val="center"/>
          </w:tcPr>
          <w:p w14:paraId="117ECE3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2D426F9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8</w:t>
            </w:r>
          </w:p>
        </w:tc>
        <w:tc>
          <w:tcPr>
            <w:tcW w:w="8505" w:type="dxa"/>
            <w:vAlign w:val="center"/>
          </w:tcPr>
          <w:p w14:paraId="14C39354">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pacing w:val="-6"/>
                <w:kern w:val="0"/>
                <w:sz w:val="18"/>
                <w:szCs w:val="18"/>
              </w:rPr>
            </w:pPr>
            <w:r>
              <w:rPr>
                <w:rFonts w:hint="eastAsia" w:ascii="方正仿宋_GBK" w:hAnsi="方正仿宋_GBK" w:eastAsia="方正仿宋_GBK" w:cs="方正仿宋_GBK"/>
                <w:spacing w:val="-6"/>
                <w:sz w:val="18"/>
                <w:szCs w:val="18"/>
              </w:rPr>
              <w:t>具有与开展药物临床试验相适应的医技科室，委托医学检测的承担机构应当具备相应资质。</w:t>
            </w:r>
          </w:p>
        </w:tc>
        <w:tc>
          <w:tcPr>
            <w:tcW w:w="5500" w:type="dxa"/>
            <w:vMerge w:val="continue"/>
            <w:vAlign w:val="center"/>
          </w:tcPr>
          <w:p w14:paraId="652B1AD2">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p>
        </w:tc>
      </w:tr>
      <w:tr w14:paraId="5210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741" w:type="dxa"/>
            <w:vMerge w:val="continue"/>
            <w:vAlign w:val="center"/>
          </w:tcPr>
          <w:p w14:paraId="0213E04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2F02349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9</w:t>
            </w:r>
          </w:p>
        </w:tc>
        <w:tc>
          <w:tcPr>
            <w:tcW w:w="8505" w:type="dxa"/>
            <w:vAlign w:val="center"/>
          </w:tcPr>
          <w:p w14:paraId="69995E10">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具有负责药物临床试验伦理审查的伦理委员会。</w:t>
            </w:r>
          </w:p>
        </w:tc>
        <w:tc>
          <w:tcPr>
            <w:tcW w:w="5500" w:type="dxa"/>
            <w:vMerge w:val="continue"/>
            <w:vAlign w:val="center"/>
          </w:tcPr>
          <w:p w14:paraId="628BB4C5">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p>
        </w:tc>
      </w:tr>
      <w:tr w14:paraId="4420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741" w:type="dxa"/>
            <w:vMerge w:val="continue"/>
            <w:vAlign w:val="center"/>
          </w:tcPr>
          <w:p w14:paraId="52EF511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749335C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10</w:t>
            </w:r>
          </w:p>
        </w:tc>
        <w:tc>
          <w:tcPr>
            <w:tcW w:w="8505" w:type="dxa"/>
            <w:vAlign w:val="center"/>
          </w:tcPr>
          <w:p w14:paraId="23C616AE">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具有药物临床试验管理制度和标准操作规程。</w:t>
            </w:r>
          </w:p>
        </w:tc>
        <w:tc>
          <w:tcPr>
            <w:tcW w:w="5500" w:type="dxa"/>
            <w:vMerge w:val="continue"/>
            <w:vAlign w:val="center"/>
          </w:tcPr>
          <w:p w14:paraId="0107EDC5">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p>
        </w:tc>
      </w:tr>
      <w:tr w14:paraId="53D9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741" w:type="dxa"/>
            <w:vMerge w:val="continue"/>
            <w:vAlign w:val="center"/>
          </w:tcPr>
          <w:p w14:paraId="4D53078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4B9B748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11</w:t>
            </w:r>
          </w:p>
        </w:tc>
        <w:tc>
          <w:tcPr>
            <w:tcW w:w="8505" w:type="dxa"/>
            <w:vAlign w:val="center"/>
          </w:tcPr>
          <w:p w14:paraId="65A48B63">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具有防范和处理药物临床试验中突发事件的管理机制与措施。</w:t>
            </w:r>
          </w:p>
        </w:tc>
        <w:tc>
          <w:tcPr>
            <w:tcW w:w="5500" w:type="dxa"/>
            <w:vMerge w:val="continue"/>
            <w:vAlign w:val="center"/>
          </w:tcPr>
          <w:p w14:paraId="71CA9DA9">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p>
        </w:tc>
      </w:tr>
      <w:tr w14:paraId="77BF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41" w:type="dxa"/>
            <w:vMerge w:val="continue"/>
            <w:vAlign w:val="center"/>
          </w:tcPr>
          <w:p w14:paraId="737AD17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44BFDEE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12</w:t>
            </w:r>
          </w:p>
        </w:tc>
        <w:tc>
          <w:tcPr>
            <w:tcW w:w="8505" w:type="dxa"/>
            <w:vAlign w:val="center"/>
          </w:tcPr>
          <w:p w14:paraId="4B815302">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具有卫生健康主管部门规定的医务人员管理、财务管理等其他条件。</w:t>
            </w:r>
          </w:p>
        </w:tc>
        <w:tc>
          <w:tcPr>
            <w:tcW w:w="5500" w:type="dxa"/>
            <w:vMerge w:val="continue"/>
            <w:vAlign w:val="center"/>
          </w:tcPr>
          <w:p w14:paraId="7B41601F">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p>
        </w:tc>
      </w:tr>
      <w:tr w14:paraId="75D5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741" w:type="dxa"/>
            <w:vMerge w:val="continue"/>
            <w:vAlign w:val="center"/>
          </w:tcPr>
          <w:p w14:paraId="2D74C44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4C76238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13</w:t>
            </w:r>
          </w:p>
        </w:tc>
        <w:tc>
          <w:tcPr>
            <w:tcW w:w="8505" w:type="dxa"/>
            <w:vAlign w:val="center"/>
          </w:tcPr>
          <w:p w14:paraId="0D910957">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新药Ⅰ期临床试验或者临床风险较高需要临床密切监测的药物临床试验，应当由三级医疗机构实施。疫苗临床试验应当由三级医疗机构或者省级以上疾病预防控制机构实施或者组织实施。对戒毒等特殊药物需在特定机构开展药物临床试验，应当具有相应业务主管部门发放的机构资质。</w:t>
            </w:r>
          </w:p>
        </w:tc>
        <w:tc>
          <w:tcPr>
            <w:tcW w:w="5500" w:type="dxa"/>
            <w:vAlign w:val="center"/>
          </w:tcPr>
          <w:p w14:paraId="2D84E71A">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《中华人民共和国药品管理法》第十九条《药品注册管理办法》第二十二条；《中华人民共和国疫苗管理法》第十六条；《药物临床试验</w:t>
            </w:r>
            <w:r>
              <w:rPr>
                <w:rFonts w:hint="eastAsia" w:ascii="方正仿宋_GBK" w:hAnsi="方正仿宋_GBK" w:eastAsia="方正仿宋_GBK" w:cs="方正仿宋_GBK"/>
                <w:spacing w:val="-6"/>
                <w:sz w:val="18"/>
                <w:szCs w:val="18"/>
              </w:rPr>
              <w:t>机构管理规定》第十五条、二十六条。</w:t>
            </w:r>
          </w:p>
        </w:tc>
      </w:tr>
      <w:tr w14:paraId="74C4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741" w:type="dxa"/>
            <w:vMerge w:val="restart"/>
            <w:vAlign w:val="center"/>
          </w:tcPr>
          <w:p w14:paraId="2387AB0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备案管理</w:t>
            </w:r>
          </w:p>
        </w:tc>
        <w:tc>
          <w:tcPr>
            <w:tcW w:w="737" w:type="dxa"/>
            <w:vAlign w:val="center"/>
          </w:tcPr>
          <w:p w14:paraId="027978C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14</w:t>
            </w:r>
          </w:p>
        </w:tc>
        <w:tc>
          <w:tcPr>
            <w:tcW w:w="8505" w:type="dxa"/>
            <w:vAlign w:val="center"/>
          </w:tcPr>
          <w:p w14:paraId="661D05A5">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新增机构或专业，应当自行或者聘请第三方对其临床试验机构及专业的技术水平、设施条件及特点进行评估，评估符合《药物临床试验机构管理规定》要求后备案。省级以上疾病预防控制机构可遴选和评估属地具备疫苗预防接种资质的机构作为试验现场单位，在备案</w:t>
            </w:r>
            <w:r>
              <w:rPr>
                <w:rFonts w:hint="eastAsia" w:ascii="方正仿宋_GBK" w:hAnsi="方正仿宋_GBK" w:eastAsia="方正仿宋_GBK" w:cs="方正仿宋_GBK"/>
                <w:spacing w:val="-6"/>
                <w:sz w:val="18"/>
                <w:szCs w:val="18"/>
              </w:rPr>
              <w:t>平台上进行登记备案，试验现场单位参照临床试验专业管理。备案完成后方可开展临床试验。</w:t>
            </w:r>
          </w:p>
        </w:tc>
        <w:tc>
          <w:tcPr>
            <w:tcW w:w="5500" w:type="dxa"/>
            <w:vAlign w:val="center"/>
          </w:tcPr>
          <w:p w14:paraId="2736F939">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《中华人民共和国药品管理法》第十九条；《药品注册管理办法》第二十二条；《药物临床试验机构管理规定》第七条、第八条。</w:t>
            </w:r>
          </w:p>
        </w:tc>
      </w:tr>
      <w:tr w14:paraId="36DB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41" w:type="dxa"/>
            <w:vMerge w:val="continue"/>
            <w:vAlign w:val="center"/>
          </w:tcPr>
          <w:p w14:paraId="32FFF62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3E195B7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15</w:t>
            </w:r>
          </w:p>
        </w:tc>
        <w:tc>
          <w:tcPr>
            <w:tcW w:w="8505" w:type="dxa"/>
            <w:vAlign w:val="center"/>
          </w:tcPr>
          <w:p w14:paraId="3E7AF8E5">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药物临床试验机构对在备案平台所填写信息的真实性和准确性承担全部法律责任。备案的药物临床试验机构名称、地址、联系人、联系方式和临床试验专业、主要研究者等基本信息向社会公开，接受公众的查阅、监督。</w:t>
            </w:r>
          </w:p>
        </w:tc>
        <w:tc>
          <w:tcPr>
            <w:tcW w:w="5500" w:type="dxa"/>
            <w:vAlign w:val="center"/>
          </w:tcPr>
          <w:p w14:paraId="22536E4A">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《中华人民共和国药品管理法》第十九条；《药品注册管理办法》第二十二条；《药物临床试验机构管理规定》第九条。</w:t>
            </w:r>
          </w:p>
        </w:tc>
      </w:tr>
      <w:tr w14:paraId="5E91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41" w:type="dxa"/>
            <w:vMerge w:val="restart"/>
            <w:vAlign w:val="center"/>
          </w:tcPr>
          <w:p w14:paraId="73A41A5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备案管理</w:t>
            </w:r>
          </w:p>
        </w:tc>
        <w:tc>
          <w:tcPr>
            <w:tcW w:w="737" w:type="dxa"/>
            <w:vAlign w:val="center"/>
          </w:tcPr>
          <w:p w14:paraId="1D9C7F2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16</w:t>
            </w:r>
          </w:p>
        </w:tc>
        <w:tc>
          <w:tcPr>
            <w:tcW w:w="8505" w:type="dxa"/>
            <w:vAlign w:val="center"/>
          </w:tcPr>
          <w:p w14:paraId="374BF932">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药物临床试验机构名称、机构地址、机构级别、机构负责人员、伦理委员会和主要研究者等备案信息发生变化时，药物临床试验机构应当于5个工作日内在备案平台中按要求填写并提交变更情况。</w:t>
            </w:r>
          </w:p>
        </w:tc>
        <w:tc>
          <w:tcPr>
            <w:tcW w:w="5500" w:type="dxa"/>
            <w:vAlign w:val="center"/>
          </w:tcPr>
          <w:p w14:paraId="257F1F8E">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《中华人民共和国药品管理法》第十九条；《药品注册管理办法》第二十二条；《药物临床试验机构管理规定》第十条。</w:t>
            </w:r>
          </w:p>
        </w:tc>
      </w:tr>
      <w:tr w14:paraId="08C0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741" w:type="dxa"/>
            <w:vMerge w:val="continue"/>
            <w:vAlign w:val="center"/>
          </w:tcPr>
          <w:p w14:paraId="434BEE0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5581443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17</w:t>
            </w:r>
          </w:p>
        </w:tc>
        <w:tc>
          <w:tcPr>
            <w:tcW w:w="8505" w:type="dxa"/>
            <w:vAlign w:val="center"/>
          </w:tcPr>
          <w:p w14:paraId="2277DA83">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药物临床试验机构应当于每年1月31日前在备案平台填报上一年度开展药物临床试验工作总结报告。</w:t>
            </w:r>
          </w:p>
        </w:tc>
        <w:tc>
          <w:tcPr>
            <w:tcW w:w="5500" w:type="dxa"/>
            <w:vAlign w:val="center"/>
          </w:tcPr>
          <w:p w14:paraId="5C29BDD1">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《中华人民共和国药品管理法》第十九条；《药品注册管理</w:t>
            </w:r>
            <w:r>
              <w:rPr>
                <w:rFonts w:hint="eastAsia" w:ascii="方正仿宋_GBK" w:hAnsi="方正仿宋_GBK" w:eastAsia="方正仿宋_GBK" w:cs="方正仿宋_GBK"/>
                <w:spacing w:val="-6"/>
                <w:sz w:val="18"/>
                <w:szCs w:val="18"/>
              </w:rPr>
              <w:t>办法》第二十二条；《药物临床试验机构管理规定》第十六条。</w:t>
            </w:r>
          </w:p>
        </w:tc>
      </w:tr>
      <w:tr w14:paraId="1040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741" w:type="dxa"/>
            <w:vMerge w:val="continue"/>
            <w:vAlign w:val="center"/>
          </w:tcPr>
          <w:p w14:paraId="1E38876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697C7C9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18</w:t>
            </w:r>
          </w:p>
        </w:tc>
        <w:tc>
          <w:tcPr>
            <w:tcW w:w="8505" w:type="dxa"/>
            <w:vAlign w:val="center"/>
          </w:tcPr>
          <w:p w14:paraId="768DF006">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药物临床试验机构接到境外药品监督管理部门检查药物临床试验要求的，应当在接受检查前将相关信息录入备案平台，并在接到检查结果后5个工作日内将检查结果信息录入备案平台。</w:t>
            </w:r>
          </w:p>
        </w:tc>
        <w:tc>
          <w:tcPr>
            <w:tcW w:w="5500" w:type="dxa"/>
            <w:vAlign w:val="center"/>
          </w:tcPr>
          <w:p w14:paraId="235F88DF">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《中华人民共和国药品管理法》第十九条；《药品注册管理办法》第二十二条；《药物临床试验机构管理规定》第十七条。</w:t>
            </w:r>
          </w:p>
        </w:tc>
      </w:tr>
      <w:tr w14:paraId="6A21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exact"/>
          <w:jc w:val="center"/>
        </w:trPr>
        <w:tc>
          <w:tcPr>
            <w:tcW w:w="741" w:type="dxa"/>
            <w:vMerge w:val="restart"/>
            <w:vAlign w:val="center"/>
          </w:tcPr>
          <w:p w14:paraId="2F42853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运行要求</w:t>
            </w:r>
          </w:p>
        </w:tc>
        <w:tc>
          <w:tcPr>
            <w:tcW w:w="737" w:type="dxa"/>
            <w:vAlign w:val="center"/>
          </w:tcPr>
          <w:p w14:paraId="7FBEA4B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19</w:t>
            </w:r>
          </w:p>
        </w:tc>
        <w:tc>
          <w:tcPr>
            <w:tcW w:w="8505" w:type="dxa"/>
            <w:vAlign w:val="center"/>
          </w:tcPr>
          <w:p w14:paraId="505899E7">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物临床试验机构备案后，应当按照相关法律法规和《药物临床试验质量管理规范》要求，在备案地址和相应专业内开展药物临床试验，确保研究的科学性，符合伦理，确保研究资料的真实性、准确性、完整性，确保研究过程可追溯性，并承担相应法律责任。</w:t>
            </w:r>
          </w:p>
          <w:p w14:paraId="2680C5B1">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疾病预防控制机构开展疫苗临床试验，应当符合疫苗临床试验质量管理相关指导原则，由备案的省级以上疾病预防控制机构负责药物临床试验的管理，并承担主要法律责任；试验现场单位承担直接法律责任。</w:t>
            </w:r>
          </w:p>
        </w:tc>
        <w:tc>
          <w:tcPr>
            <w:tcW w:w="5500" w:type="dxa"/>
            <w:vAlign w:val="center"/>
          </w:tcPr>
          <w:p w14:paraId="75E1F134">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《中华人民共和国药品管理法》第七条；《中华人民共和国疫苗管理法》第十六条；《药品注册管理办法》第八条；《药物临床试验机构管理规定》第十一条。</w:t>
            </w:r>
          </w:p>
        </w:tc>
      </w:tr>
      <w:tr w14:paraId="10BB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41" w:type="dxa"/>
            <w:vMerge w:val="continue"/>
            <w:vAlign w:val="center"/>
          </w:tcPr>
          <w:p w14:paraId="0A36B96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7346F76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20</w:t>
            </w:r>
          </w:p>
        </w:tc>
        <w:tc>
          <w:tcPr>
            <w:tcW w:w="8505" w:type="dxa"/>
            <w:vAlign w:val="center"/>
          </w:tcPr>
          <w:p w14:paraId="0C1951DD">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药物临床试验机构设立或者指定的药物临床试验组织管理专门部门，统筹药物临床试验的</w:t>
            </w:r>
            <w:r>
              <w:rPr>
                <w:rFonts w:hint="eastAsia" w:ascii="方正仿宋_GBK" w:hAnsi="方正仿宋_GBK" w:eastAsia="方正仿宋_GBK" w:cs="方正仿宋_GBK"/>
                <w:spacing w:val="-6"/>
                <w:kern w:val="0"/>
                <w:sz w:val="18"/>
                <w:szCs w:val="18"/>
              </w:rPr>
              <w:t>立项管理、试验用药品管理、资料管理、质量管理等相关工作，持续提高药物临床试验质量。</w:t>
            </w:r>
          </w:p>
        </w:tc>
        <w:tc>
          <w:tcPr>
            <w:tcW w:w="5500" w:type="dxa"/>
            <w:vAlign w:val="center"/>
          </w:tcPr>
          <w:p w14:paraId="5D4F0885">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pacing w:val="-6"/>
                <w:kern w:val="0"/>
                <w:sz w:val="18"/>
                <w:szCs w:val="18"/>
              </w:rPr>
            </w:pPr>
            <w:r>
              <w:rPr>
                <w:rFonts w:hint="eastAsia" w:ascii="方正仿宋_GBK" w:hAnsi="方正仿宋_GBK" w:eastAsia="方正仿宋_GBK" w:cs="方正仿宋_GBK"/>
                <w:spacing w:val="-6"/>
                <w:sz w:val="18"/>
                <w:szCs w:val="18"/>
              </w:rPr>
              <w:t>《中华人民共和国药品管理法》第十七条；《药品注册管理办法》第十条；《药物临床试验机构管理规定》第十二条。</w:t>
            </w:r>
          </w:p>
        </w:tc>
      </w:tr>
      <w:tr w14:paraId="2313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741" w:type="dxa"/>
            <w:vMerge w:val="continue"/>
            <w:vAlign w:val="center"/>
          </w:tcPr>
          <w:p w14:paraId="7F09430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4B127FB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21</w:t>
            </w:r>
          </w:p>
        </w:tc>
        <w:tc>
          <w:tcPr>
            <w:tcW w:w="8505" w:type="dxa"/>
            <w:vAlign w:val="center"/>
          </w:tcPr>
          <w:p w14:paraId="60ECA2E7">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实施药物临床试验，应当向受试者或者其监护人如实说明和解释临床试验的目的和风险等详细情况，取得受试者或者其监护人自愿签署的知情同意书，并采取有效措施保护受试着合法权益。</w:t>
            </w:r>
          </w:p>
        </w:tc>
        <w:tc>
          <w:tcPr>
            <w:tcW w:w="5500" w:type="dxa"/>
            <w:vAlign w:val="center"/>
          </w:tcPr>
          <w:p w14:paraId="366B3205">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《中华人民共和国药品管理法》第二十一条；《中华人民共和国疫苗管理法》第十八条。</w:t>
            </w:r>
          </w:p>
        </w:tc>
      </w:tr>
      <w:tr w14:paraId="0340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exact"/>
          <w:jc w:val="center"/>
        </w:trPr>
        <w:tc>
          <w:tcPr>
            <w:tcW w:w="741" w:type="dxa"/>
            <w:vMerge w:val="continue"/>
            <w:vAlign w:val="center"/>
          </w:tcPr>
          <w:p w14:paraId="6565DDF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28CF164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22</w:t>
            </w:r>
          </w:p>
        </w:tc>
        <w:tc>
          <w:tcPr>
            <w:tcW w:w="8505" w:type="dxa"/>
            <w:vAlign w:val="center"/>
          </w:tcPr>
          <w:p w14:paraId="2FE7A746">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主要研究者应当监督药物临床试验实施及各研究人员履行其工作职责的情况，并采取措施实施药物临床试验的质量管理，确保数据的可靠、准确。</w:t>
            </w:r>
          </w:p>
        </w:tc>
        <w:tc>
          <w:tcPr>
            <w:tcW w:w="5500" w:type="dxa"/>
            <w:vAlign w:val="center"/>
          </w:tcPr>
          <w:p w14:paraId="4C51D0CB">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pacing w:val="-6"/>
                <w:kern w:val="0"/>
                <w:sz w:val="18"/>
                <w:szCs w:val="18"/>
              </w:rPr>
            </w:pPr>
            <w:r>
              <w:rPr>
                <w:rFonts w:hint="eastAsia" w:ascii="方正仿宋_GBK" w:hAnsi="方正仿宋_GBK" w:eastAsia="方正仿宋_GBK" w:cs="方正仿宋_GBK"/>
                <w:spacing w:val="-6"/>
                <w:sz w:val="18"/>
                <w:szCs w:val="18"/>
              </w:rPr>
              <w:t>《中华人民共和国药品管理法》第十七条；《药品注册管理办法》第十条；《药物临床试验机构管理规定》第十四条。</w:t>
            </w:r>
          </w:p>
        </w:tc>
      </w:tr>
      <w:tr w14:paraId="5280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vAlign w:val="center"/>
          </w:tcPr>
          <w:p w14:paraId="5A8C901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文件制度管理</w:t>
            </w:r>
          </w:p>
        </w:tc>
        <w:tc>
          <w:tcPr>
            <w:tcW w:w="737" w:type="dxa"/>
            <w:vAlign w:val="center"/>
          </w:tcPr>
          <w:p w14:paraId="3D63C15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23</w:t>
            </w:r>
          </w:p>
        </w:tc>
        <w:tc>
          <w:tcPr>
            <w:tcW w:w="8505" w:type="dxa"/>
            <w:vAlign w:val="center"/>
          </w:tcPr>
          <w:p w14:paraId="1061E72A">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建立能够满足开展药物临床试验需要的文件体系，制定药物临床试验管理制度、SOP等相关文件。具有防范和处理药物临床试验中突发事件的管理机制与措施。管理制度和SOP内容与现行法律法规相符，及时更新完善。</w:t>
            </w:r>
          </w:p>
        </w:tc>
        <w:tc>
          <w:tcPr>
            <w:tcW w:w="5500" w:type="dxa"/>
            <w:vAlign w:val="center"/>
          </w:tcPr>
          <w:p w14:paraId="1C6ACF1D">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《中华人民共和国药品管理法》第十七条；《药品注册管理办法》第十条；《药物临床试验机构管理规定》第五条；《药物临床试验质量管理规范》第十六条。</w:t>
            </w:r>
          </w:p>
        </w:tc>
      </w:tr>
      <w:tr w14:paraId="663B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41" w:type="dxa"/>
            <w:vMerge w:val="continue"/>
            <w:vAlign w:val="center"/>
          </w:tcPr>
          <w:p w14:paraId="799049C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1EE5EDA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24</w:t>
            </w:r>
          </w:p>
        </w:tc>
        <w:tc>
          <w:tcPr>
            <w:tcW w:w="8505" w:type="dxa"/>
            <w:vAlign w:val="center"/>
          </w:tcPr>
          <w:p w14:paraId="62572461">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机构建立管理制度及工作程序，确保被授权的个人或单位（如临床研究协调员或委托检测单位等）具备相应资质，所执行临床试验相关职责和功能符合法规要求。</w:t>
            </w:r>
          </w:p>
        </w:tc>
        <w:tc>
          <w:tcPr>
            <w:tcW w:w="5500" w:type="dxa"/>
            <w:vAlign w:val="center"/>
          </w:tcPr>
          <w:p w14:paraId="0649A6F7">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方正仿宋_GBK" w:hAnsi="方正仿宋_GBK" w:eastAsia="方正仿宋_GBK" w:cs="方正仿宋_GBK"/>
                <w:spacing w:val="-6"/>
                <w:kern w:val="0"/>
                <w:sz w:val="18"/>
                <w:szCs w:val="18"/>
              </w:rPr>
            </w:pPr>
            <w:r>
              <w:rPr>
                <w:rFonts w:hint="eastAsia" w:ascii="方正仿宋_GBK" w:hAnsi="方正仿宋_GBK" w:eastAsia="方正仿宋_GBK" w:cs="方正仿宋_GBK"/>
                <w:spacing w:val="-6"/>
                <w:sz w:val="18"/>
                <w:szCs w:val="18"/>
              </w:rPr>
              <w:t>《中华人民共和国药品管理法》第十七条；《药品注册管理办法》第十条；《药物临床试验机构管理规定》第五条；</w:t>
            </w:r>
            <w:r>
              <w:rPr>
                <w:rFonts w:hint="eastAsia" w:ascii="方正仿宋_GBK" w:hAnsi="方正仿宋_GBK" w:eastAsia="方正仿宋_GBK" w:cs="方正仿宋_GBK"/>
                <w:sz w:val="18"/>
                <w:szCs w:val="18"/>
              </w:rPr>
              <w:t>《药物临床试验质量管理规范》第十七条</w:t>
            </w:r>
            <w:r>
              <w:rPr>
                <w:rFonts w:hint="eastAsia" w:ascii="方正仿宋_GBK" w:hAnsi="方正仿宋_GBK" w:eastAsia="方正仿宋_GBK" w:cs="方正仿宋_GBK"/>
                <w:spacing w:val="-6"/>
                <w:sz w:val="18"/>
                <w:szCs w:val="18"/>
              </w:rPr>
              <w:t>。</w:t>
            </w:r>
          </w:p>
        </w:tc>
      </w:tr>
      <w:tr w14:paraId="055A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exact"/>
          <w:jc w:val="center"/>
        </w:trPr>
        <w:tc>
          <w:tcPr>
            <w:tcW w:w="741" w:type="dxa"/>
            <w:vMerge w:val="restart"/>
            <w:vAlign w:val="center"/>
          </w:tcPr>
          <w:p w14:paraId="518FFBB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立项管理</w:t>
            </w:r>
          </w:p>
        </w:tc>
        <w:tc>
          <w:tcPr>
            <w:tcW w:w="737" w:type="dxa"/>
            <w:vAlign w:val="center"/>
          </w:tcPr>
          <w:p w14:paraId="35428F9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25</w:t>
            </w:r>
          </w:p>
        </w:tc>
        <w:tc>
          <w:tcPr>
            <w:tcW w:w="8505" w:type="dxa"/>
            <w:vAlign w:val="center"/>
          </w:tcPr>
          <w:p w14:paraId="08C70E27">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对药物临床试验进行立项管理，有立项管理制度，确保研究者及其团队同期承担临床试验项目数或者入组受试者例数受到合理控制，有足够的时间和资源实施临床试验。建有立项管理清单，保存有每个项目的立项申请表和相关资料。</w:t>
            </w:r>
          </w:p>
        </w:tc>
        <w:tc>
          <w:tcPr>
            <w:tcW w:w="5500" w:type="dxa"/>
            <w:vAlign w:val="center"/>
          </w:tcPr>
          <w:p w14:paraId="66AFE206">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《中华人民共和国药品管理法》第十七条；《药品注册管理办法》第十条；《药物临床试验机构管理规定》第十二条；《药物临床试验质量管理规范》第十七条。</w:t>
            </w:r>
          </w:p>
        </w:tc>
      </w:tr>
      <w:tr w14:paraId="5644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1" w:type="dxa"/>
            <w:vMerge w:val="continue"/>
            <w:vAlign w:val="center"/>
          </w:tcPr>
          <w:p w14:paraId="654293B3">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4F2A835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26</w:t>
            </w:r>
          </w:p>
        </w:tc>
        <w:tc>
          <w:tcPr>
            <w:tcW w:w="8505" w:type="dxa"/>
            <w:vAlign w:val="center"/>
          </w:tcPr>
          <w:p w14:paraId="182DDCFA">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与申办者签署临床试验合同，合同中明确各方职责，条款清晰完整，试验经费合理。</w:t>
            </w:r>
          </w:p>
        </w:tc>
        <w:tc>
          <w:tcPr>
            <w:tcW w:w="5500" w:type="dxa"/>
            <w:vAlign w:val="center"/>
          </w:tcPr>
          <w:p w14:paraId="05A93CD9">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方正仿宋_GBK" w:hAnsi="方正仿宋_GBK" w:eastAsia="方正仿宋_GBK" w:cs="方正仿宋_GBK"/>
                <w:spacing w:val="-6"/>
                <w:kern w:val="0"/>
                <w:sz w:val="18"/>
                <w:szCs w:val="18"/>
              </w:rPr>
            </w:pPr>
            <w:r>
              <w:rPr>
                <w:rFonts w:hint="eastAsia" w:ascii="方正仿宋_GBK" w:hAnsi="方正仿宋_GBK" w:eastAsia="方正仿宋_GBK" w:cs="方正仿宋_GBK"/>
                <w:spacing w:val="-6"/>
                <w:sz w:val="18"/>
                <w:szCs w:val="18"/>
              </w:rPr>
              <w:t>《中华人民共和国药品管理法》第十七条；《药品注册管理办法》第十条；</w:t>
            </w:r>
            <w:r>
              <w:rPr>
                <w:rFonts w:hint="eastAsia" w:ascii="方正仿宋_GBK" w:hAnsi="方正仿宋_GBK" w:eastAsia="方正仿宋_GBK" w:cs="方正仿宋_GBK"/>
                <w:sz w:val="18"/>
                <w:szCs w:val="18"/>
              </w:rPr>
              <w:t>《药物临床试验质量管理规范》第四十条。</w:t>
            </w:r>
          </w:p>
        </w:tc>
      </w:tr>
      <w:tr w14:paraId="4ED7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41" w:type="dxa"/>
            <w:vMerge w:val="continue"/>
            <w:vAlign w:val="center"/>
          </w:tcPr>
          <w:p w14:paraId="2345287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30CB2C2E">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27</w:t>
            </w:r>
          </w:p>
        </w:tc>
        <w:tc>
          <w:tcPr>
            <w:tcW w:w="8505" w:type="dxa"/>
            <w:vAlign w:val="center"/>
          </w:tcPr>
          <w:p w14:paraId="56C71369">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在临床试验结束后，审核研究者递交的结题报告或本中心试验小结。</w:t>
            </w:r>
          </w:p>
        </w:tc>
        <w:tc>
          <w:tcPr>
            <w:tcW w:w="5500" w:type="dxa"/>
            <w:vAlign w:val="center"/>
          </w:tcPr>
          <w:p w14:paraId="6B601054">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方正仿宋_GBK" w:hAnsi="方正仿宋_GBK" w:eastAsia="方正仿宋_GBK" w:cs="方正仿宋_GBK"/>
                <w:spacing w:val="-6"/>
                <w:kern w:val="0"/>
                <w:sz w:val="18"/>
                <w:szCs w:val="18"/>
              </w:rPr>
            </w:pPr>
            <w:r>
              <w:rPr>
                <w:rFonts w:hint="eastAsia" w:ascii="方正仿宋_GBK" w:hAnsi="方正仿宋_GBK" w:eastAsia="方正仿宋_GBK" w:cs="方正仿宋_GBK"/>
                <w:spacing w:val="-6"/>
                <w:sz w:val="18"/>
                <w:szCs w:val="18"/>
              </w:rPr>
              <w:t>《中华人民共和国药品管理法》第十七条；《药品注册管理办法》第十条；</w:t>
            </w:r>
            <w:r>
              <w:rPr>
                <w:rFonts w:hint="eastAsia" w:ascii="方正仿宋_GBK" w:hAnsi="方正仿宋_GBK" w:eastAsia="方正仿宋_GBK" w:cs="方正仿宋_GBK"/>
                <w:sz w:val="18"/>
                <w:szCs w:val="18"/>
              </w:rPr>
              <w:t>《药物临床试验质量管理规范》第二十八条。</w:t>
            </w:r>
          </w:p>
        </w:tc>
      </w:tr>
      <w:tr w14:paraId="631C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741" w:type="dxa"/>
            <w:vMerge w:val="restart"/>
            <w:vAlign w:val="center"/>
          </w:tcPr>
          <w:p w14:paraId="530137B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试验用药品管理</w:t>
            </w:r>
          </w:p>
        </w:tc>
        <w:tc>
          <w:tcPr>
            <w:tcW w:w="737" w:type="dxa"/>
            <w:vAlign w:val="center"/>
          </w:tcPr>
          <w:p w14:paraId="144BA05E">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28</w:t>
            </w:r>
          </w:p>
        </w:tc>
        <w:tc>
          <w:tcPr>
            <w:tcW w:w="8505" w:type="dxa"/>
            <w:vAlign w:val="center"/>
          </w:tcPr>
          <w:p w14:paraId="3D31AA67">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药物临床试验用药品的管理应当符合药物临床试验质量管理规范的有关要求。机构建立试验用药品验收和退回制度，保证试验用药品的数量、检验报告、效期、贮存和运输条件等符合试验方案要求；指派专人管理试验用药品，保存有药品出入库登记。</w:t>
            </w:r>
          </w:p>
        </w:tc>
        <w:tc>
          <w:tcPr>
            <w:tcW w:w="5500" w:type="dxa"/>
            <w:vAlign w:val="center"/>
          </w:tcPr>
          <w:p w14:paraId="47382E82">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《药品注册管理办法》第二十五条；《药物临床试验机构管理规定》第十二条；《药物临床试验质量管理规范》第二十一条。</w:t>
            </w:r>
          </w:p>
        </w:tc>
      </w:tr>
      <w:tr w14:paraId="3EA3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741" w:type="dxa"/>
            <w:vMerge w:val="continue"/>
            <w:vAlign w:val="center"/>
          </w:tcPr>
          <w:p w14:paraId="420B6A4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0B6140ED">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29</w:t>
            </w:r>
          </w:p>
        </w:tc>
        <w:tc>
          <w:tcPr>
            <w:tcW w:w="8505" w:type="dxa"/>
            <w:vAlign w:val="center"/>
          </w:tcPr>
          <w:p w14:paraId="0F52423C">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试验用药品保存有分发、回收、退还等管理记录。试验用药品凭处方/医嘱或同等效力的其他文件发放。生物等效性试验用药品留样至少保存至药品上市后2年。</w:t>
            </w:r>
          </w:p>
        </w:tc>
        <w:tc>
          <w:tcPr>
            <w:tcW w:w="5500" w:type="dxa"/>
            <w:vAlign w:val="center"/>
          </w:tcPr>
          <w:p w14:paraId="4A465E61">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《药品注册管理办法》第二十五条；《药物临床试验机构管理规定》第十二条；《药物临床试验质量管理规范》第二十一条。</w:t>
            </w:r>
          </w:p>
        </w:tc>
      </w:tr>
      <w:tr w14:paraId="6579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41" w:type="dxa"/>
            <w:vMerge w:val="continue"/>
            <w:vAlign w:val="center"/>
          </w:tcPr>
          <w:p w14:paraId="6A69654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0F19237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30</w:t>
            </w:r>
          </w:p>
        </w:tc>
        <w:tc>
          <w:tcPr>
            <w:tcW w:w="8505" w:type="dxa"/>
            <w:vAlign w:val="center"/>
          </w:tcPr>
          <w:p w14:paraId="34452298">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特殊药品的贮存、保管和使用符合相关规定。</w:t>
            </w:r>
          </w:p>
        </w:tc>
        <w:tc>
          <w:tcPr>
            <w:tcW w:w="5500" w:type="dxa"/>
            <w:vAlign w:val="center"/>
          </w:tcPr>
          <w:p w14:paraId="269A967D">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《中华人民共和国药品管理法》第一百一十</w:t>
            </w:r>
            <w:r>
              <w:rPr>
                <w:rFonts w:hint="eastAsia" w:ascii="方正仿宋_GBK" w:hAnsi="方正仿宋_GBK" w:eastAsia="方正仿宋_GBK" w:cs="方正仿宋_GBK"/>
                <w:spacing w:val="-6"/>
                <w:sz w:val="18"/>
                <w:szCs w:val="18"/>
              </w:rPr>
              <w:t>二条；《药物临床试验机构管理规定》第十二条</w:t>
            </w:r>
            <w:r>
              <w:rPr>
                <w:rFonts w:hint="eastAsia" w:ascii="方正仿宋_GBK" w:hAnsi="方正仿宋_GBK" w:eastAsia="方正仿宋_GBK" w:cs="方正仿宋_GBK"/>
                <w:sz w:val="18"/>
                <w:szCs w:val="18"/>
              </w:rPr>
              <w:t>；《药物临床试验质量管理规范》第二十一条。</w:t>
            </w:r>
          </w:p>
        </w:tc>
      </w:tr>
      <w:tr w14:paraId="7BA0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41" w:type="dxa"/>
            <w:vMerge w:val="restart"/>
            <w:vAlign w:val="center"/>
          </w:tcPr>
          <w:p w14:paraId="6E0AAEE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资料管理</w:t>
            </w:r>
          </w:p>
        </w:tc>
        <w:tc>
          <w:tcPr>
            <w:tcW w:w="737" w:type="dxa"/>
            <w:vAlign w:val="center"/>
          </w:tcPr>
          <w:p w14:paraId="5894A25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31</w:t>
            </w:r>
          </w:p>
        </w:tc>
        <w:tc>
          <w:tcPr>
            <w:tcW w:w="8505" w:type="dxa"/>
            <w:vAlign w:val="center"/>
          </w:tcPr>
          <w:p w14:paraId="1D806EDF">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指派专人管理试验文档资料，保存有资料调阅和归还记录。</w:t>
            </w:r>
          </w:p>
        </w:tc>
        <w:tc>
          <w:tcPr>
            <w:tcW w:w="5500" w:type="dxa"/>
            <w:vAlign w:val="center"/>
          </w:tcPr>
          <w:p w14:paraId="46D6A974">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《中华人民共和国药品管理法》第十七条；《药物临床试验机构管理规定》第十二条；《药物临床试验质量管理规范》第二十五条、第七十九条。</w:t>
            </w:r>
          </w:p>
        </w:tc>
      </w:tr>
      <w:tr w14:paraId="2021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41" w:type="dxa"/>
            <w:vMerge w:val="continue"/>
            <w:vAlign w:val="center"/>
          </w:tcPr>
          <w:p w14:paraId="24D07A0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2ABC5C1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32</w:t>
            </w:r>
          </w:p>
        </w:tc>
        <w:tc>
          <w:tcPr>
            <w:tcW w:w="8505" w:type="dxa"/>
            <w:vAlign w:val="center"/>
          </w:tcPr>
          <w:p w14:paraId="32DD97EC">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文档资料的保存符合“临床试验必备文件”和药品监督管理部门的相关要求，用于申请药品注册的临床试验，必备文件至少保存至试验药物被批准上市后5年；未用于申请药品注册的临床试验，必备文件至少保存至临床试验终止后5年。</w:t>
            </w:r>
          </w:p>
        </w:tc>
        <w:tc>
          <w:tcPr>
            <w:tcW w:w="5500" w:type="dxa"/>
            <w:vAlign w:val="center"/>
          </w:tcPr>
          <w:p w14:paraId="77A70047">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《中华人民共和国药品管理法》第十七条；《药物临床试验机构管理规定》第十二条；《药物临床试验质量管理规范》第二十五条、第八十条。</w:t>
            </w:r>
          </w:p>
        </w:tc>
      </w:tr>
      <w:tr w14:paraId="5AE0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741" w:type="dxa"/>
            <w:vAlign w:val="center"/>
          </w:tcPr>
          <w:p w14:paraId="41E0F36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生物样本管理</w:t>
            </w:r>
          </w:p>
        </w:tc>
        <w:tc>
          <w:tcPr>
            <w:tcW w:w="737" w:type="dxa"/>
            <w:vAlign w:val="center"/>
          </w:tcPr>
          <w:p w14:paraId="0B55AE6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33</w:t>
            </w:r>
          </w:p>
        </w:tc>
        <w:tc>
          <w:tcPr>
            <w:tcW w:w="8505" w:type="dxa"/>
            <w:vAlign w:val="center"/>
          </w:tcPr>
          <w:p w14:paraId="2DE9EA6A">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指派专人管理生物样本，生物样本采集、处理、储存、转运等各环节的管理遵守相应的规定并保存记录，确保生物样本的可追溯性。</w:t>
            </w:r>
          </w:p>
        </w:tc>
        <w:tc>
          <w:tcPr>
            <w:tcW w:w="5500" w:type="dxa"/>
            <w:vAlign w:val="center"/>
          </w:tcPr>
          <w:p w14:paraId="63A9A9E4">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《中华人民共和国药品管理法》第十七条；《药品注册管理办法》第十条；《药物临床试验质量管理规范》第三十七条。</w:t>
            </w:r>
          </w:p>
        </w:tc>
      </w:tr>
      <w:tr w14:paraId="1CA5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41" w:type="dxa"/>
            <w:vAlign w:val="center"/>
          </w:tcPr>
          <w:p w14:paraId="1B3AA51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质量管理</w:t>
            </w:r>
          </w:p>
        </w:tc>
        <w:tc>
          <w:tcPr>
            <w:tcW w:w="737" w:type="dxa"/>
            <w:vAlign w:val="center"/>
          </w:tcPr>
          <w:p w14:paraId="169DC47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34</w:t>
            </w:r>
          </w:p>
        </w:tc>
        <w:tc>
          <w:tcPr>
            <w:tcW w:w="8505" w:type="dxa"/>
            <w:vAlign w:val="center"/>
          </w:tcPr>
          <w:p w14:paraId="31FAD5BF">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具有本机构培训计划，按计划开展培训，保存有培训记录。对临床试验实施质量管理，制定质量管理计划。保存有质量管理过程记录，以及研究人员的反馈和整改情况记录。针对检查发现的问题及时进行原因分析，采取纠正和预防措施，必要时进行跟踪审查。组织管理部门定期向机构负责人汇报本机构临床试验工作情况及发现问题。</w:t>
            </w:r>
          </w:p>
        </w:tc>
        <w:tc>
          <w:tcPr>
            <w:tcW w:w="5500" w:type="dxa"/>
            <w:vAlign w:val="center"/>
          </w:tcPr>
          <w:p w14:paraId="119C839A">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《中华人民共和国药品管理法》第十七条；《药物临床试验机构管理规定》第十二条；《药物临床试验质量管理规范》第十二条、第十六条、第十七条。</w:t>
            </w:r>
          </w:p>
        </w:tc>
      </w:tr>
      <w:tr w14:paraId="091F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vAlign w:val="center"/>
          </w:tcPr>
          <w:p w14:paraId="72FBC32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质量管理</w:t>
            </w:r>
          </w:p>
        </w:tc>
        <w:tc>
          <w:tcPr>
            <w:tcW w:w="737" w:type="dxa"/>
            <w:vAlign w:val="center"/>
          </w:tcPr>
          <w:p w14:paraId="4E2F1EC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35</w:t>
            </w:r>
          </w:p>
        </w:tc>
        <w:tc>
          <w:tcPr>
            <w:tcW w:w="8505" w:type="dxa"/>
            <w:vAlign w:val="center"/>
          </w:tcPr>
          <w:p w14:paraId="54562852">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主要研究者应当监督药物临床试验实施及各研究人员履行其工作职责的情况，并采取措施实施药物临床试验的质量管理，确保数据的可靠、准确。掌握研究工作的进展，定期审查各种临床试验原始记录，确保记录及时、直接、准确和清楚，符合相关法规要求；确保所有临床试验数据是从临床试验的源文件和试验记录中获得的，并采取措施保证临床试验原始记录和数据的安全、保密、可靠、可溯源，确保不被损毁、替换和丢失。</w:t>
            </w:r>
          </w:p>
        </w:tc>
        <w:tc>
          <w:tcPr>
            <w:tcW w:w="5500" w:type="dxa"/>
            <w:vAlign w:val="center"/>
          </w:tcPr>
          <w:p w14:paraId="66190C51">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《中华人民共和国药品管理法》第十七条；《药品注册管理办法》第十条；《药物临床试验机构管理规定》第十四条；《药物临床试验质量管理规范》第二十五条。</w:t>
            </w:r>
          </w:p>
        </w:tc>
      </w:tr>
      <w:tr w14:paraId="2104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741" w:type="dxa"/>
            <w:vMerge w:val="continue"/>
            <w:vAlign w:val="center"/>
          </w:tcPr>
          <w:p w14:paraId="69DE493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0E5C3E2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36</w:t>
            </w:r>
          </w:p>
        </w:tc>
        <w:tc>
          <w:tcPr>
            <w:tcW w:w="8505" w:type="dxa"/>
            <w:vAlign w:val="center"/>
          </w:tcPr>
          <w:p w14:paraId="44CD89D9">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研究者在临床试验约定的期限内保证有足够的时间实施和完成临床试验，能监管研究人员执行方案并采取措施实施管理</w:t>
            </w:r>
          </w:p>
        </w:tc>
        <w:tc>
          <w:tcPr>
            <w:tcW w:w="5500" w:type="dxa"/>
            <w:vAlign w:val="center"/>
          </w:tcPr>
          <w:p w14:paraId="18D6EBA2">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《中华人民共和国药品管理法》第十七条；《药品注册管理办法》第十条；《药物临床试验质量管理规范》第十七条。</w:t>
            </w:r>
          </w:p>
        </w:tc>
      </w:tr>
      <w:tr w14:paraId="00F4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41" w:type="dxa"/>
            <w:vMerge w:val="restart"/>
            <w:vAlign w:val="center"/>
          </w:tcPr>
          <w:p w14:paraId="225DCB6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质量管理</w:t>
            </w:r>
          </w:p>
        </w:tc>
        <w:tc>
          <w:tcPr>
            <w:tcW w:w="737" w:type="dxa"/>
            <w:vAlign w:val="center"/>
          </w:tcPr>
          <w:p w14:paraId="562AD8D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37</w:t>
            </w:r>
          </w:p>
        </w:tc>
        <w:tc>
          <w:tcPr>
            <w:tcW w:w="8505" w:type="dxa"/>
            <w:vAlign w:val="center"/>
          </w:tcPr>
          <w:p w14:paraId="422CB173">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研究者授权具备相应资质的人员承担临床试验相关的职责，明确职责权限，所授权的职责符合临床医疗常规和相关法规要求，保存有研究者签署的职责分工授权表，相应人员在授权范围内开展工作。</w:t>
            </w:r>
          </w:p>
        </w:tc>
        <w:tc>
          <w:tcPr>
            <w:tcW w:w="5500" w:type="dxa"/>
            <w:vAlign w:val="center"/>
          </w:tcPr>
          <w:p w14:paraId="504E625F">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《中华人民共和国药品管理法》第十七条；《药品注册管理办法》第十条；《药物临床试验质量管理规范》第十六条、第十七条。</w:t>
            </w:r>
          </w:p>
        </w:tc>
      </w:tr>
      <w:tr w14:paraId="7CB9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1" w:type="dxa"/>
            <w:vMerge w:val="continue"/>
            <w:vAlign w:val="center"/>
          </w:tcPr>
          <w:p w14:paraId="0A99198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2030F7C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38</w:t>
            </w:r>
          </w:p>
        </w:tc>
        <w:tc>
          <w:tcPr>
            <w:tcW w:w="8505" w:type="dxa"/>
            <w:vAlign w:val="center"/>
          </w:tcPr>
          <w:p w14:paraId="5EFD4E2B">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研究者及时处理组织管理部门、监查和检查发现的问题，确保临床试验各环节符合要求。</w:t>
            </w:r>
          </w:p>
        </w:tc>
        <w:tc>
          <w:tcPr>
            <w:tcW w:w="5500" w:type="dxa"/>
            <w:vAlign w:val="center"/>
          </w:tcPr>
          <w:p w14:paraId="73C58DA5">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pacing w:val="-6"/>
                <w:kern w:val="0"/>
                <w:sz w:val="18"/>
                <w:szCs w:val="18"/>
              </w:rPr>
            </w:pPr>
            <w:r>
              <w:rPr>
                <w:rFonts w:hint="eastAsia" w:ascii="方正仿宋_GBK" w:hAnsi="方正仿宋_GBK" w:eastAsia="方正仿宋_GBK" w:cs="方正仿宋_GBK"/>
                <w:spacing w:val="-6"/>
                <w:sz w:val="18"/>
                <w:szCs w:val="18"/>
              </w:rPr>
              <w:t>《中华人民共和国药品管理法》第十七条；《药品注册管理办法》第十条；《药物临床试验机构管理规定》第十四条；《药物临床试验质量管理规范》第十六条。</w:t>
            </w:r>
          </w:p>
        </w:tc>
      </w:tr>
      <w:tr w14:paraId="1149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41" w:type="dxa"/>
            <w:vMerge w:val="continue"/>
            <w:vAlign w:val="center"/>
          </w:tcPr>
          <w:p w14:paraId="01EA4A4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6715AF7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39</w:t>
            </w:r>
          </w:p>
        </w:tc>
        <w:tc>
          <w:tcPr>
            <w:tcW w:w="8505" w:type="dxa"/>
            <w:vAlign w:val="center"/>
          </w:tcPr>
          <w:p w14:paraId="3366AA88">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医院建有电子病历系统时，研究人员使用电子病历系统记录受试者的相关医疗信息；如未使用，需有适当理由。</w:t>
            </w:r>
          </w:p>
        </w:tc>
        <w:tc>
          <w:tcPr>
            <w:tcW w:w="5500" w:type="dxa"/>
            <w:vAlign w:val="center"/>
          </w:tcPr>
          <w:p w14:paraId="31CA652F">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《中华人民共和国药品管理法》第十七条；《药品注册管理办法》第十条；《药物临床试验质量管理规范》第二十五条。</w:t>
            </w:r>
          </w:p>
        </w:tc>
      </w:tr>
      <w:tr w14:paraId="5C58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741" w:type="dxa"/>
            <w:vMerge w:val="restart"/>
            <w:vAlign w:val="center"/>
          </w:tcPr>
          <w:p w14:paraId="244742B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伦理委员会运行</w:t>
            </w:r>
          </w:p>
        </w:tc>
        <w:tc>
          <w:tcPr>
            <w:tcW w:w="737" w:type="dxa"/>
            <w:vAlign w:val="center"/>
          </w:tcPr>
          <w:p w14:paraId="37881BA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40</w:t>
            </w:r>
          </w:p>
        </w:tc>
        <w:tc>
          <w:tcPr>
            <w:tcW w:w="8505" w:type="dxa"/>
            <w:vAlign w:val="center"/>
          </w:tcPr>
          <w:p w14:paraId="5A96219B">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伦理委员会应当按照《涉及人的生物医学研究伦理审查办法》要求在医学研究登记备案信息系统公开有关信息，接受本机构和卫生健康主管部门的管理和公众监督。伦理委员</w:t>
            </w:r>
            <w:r>
              <w:rPr>
                <w:rFonts w:hint="eastAsia" w:ascii="方正仿宋_GBK" w:hAnsi="方正仿宋_GBK" w:eastAsia="方正仿宋_GBK" w:cs="方正仿宋_GBK"/>
                <w:kern w:val="0"/>
                <w:sz w:val="18"/>
                <w:szCs w:val="18"/>
              </w:rPr>
              <w:t>会组成、运行、备案管理符合卫生健康主管部门要求，能够独立履行伦理审查职责，人员具备相应能力和工作经验。</w:t>
            </w:r>
          </w:p>
        </w:tc>
        <w:tc>
          <w:tcPr>
            <w:tcW w:w="5500" w:type="dxa"/>
            <w:vAlign w:val="center"/>
          </w:tcPr>
          <w:p w14:paraId="189CBFBF">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《中华人民共和国药品管理法》第十七条、《药物临床试验机构管理规定》第十三条；《药物临床试验质量管理规范》第十三条。</w:t>
            </w:r>
          </w:p>
        </w:tc>
      </w:tr>
      <w:tr w14:paraId="7A87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41" w:type="dxa"/>
            <w:vMerge w:val="continue"/>
            <w:vAlign w:val="center"/>
          </w:tcPr>
          <w:p w14:paraId="3894C09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37ABCA7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41</w:t>
            </w:r>
          </w:p>
        </w:tc>
        <w:tc>
          <w:tcPr>
            <w:tcW w:w="8505" w:type="dxa"/>
            <w:vAlign w:val="center"/>
          </w:tcPr>
          <w:p w14:paraId="4D26AA9B">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伦理委员会具有章程、相关管理制度和SOP，管理制度和SOP的起草、审核、批准、生效、修订、废止等符合伦理委员会相关管理制度及SOP的要求。</w:t>
            </w:r>
          </w:p>
        </w:tc>
        <w:tc>
          <w:tcPr>
            <w:tcW w:w="5500" w:type="dxa"/>
            <w:vAlign w:val="center"/>
          </w:tcPr>
          <w:p w14:paraId="0697A5AD">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pacing w:val="-6"/>
                <w:kern w:val="0"/>
                <w:sz w:val="18"/>
                <w:szCs w:val="18"/>
              </w:rPr>
            </w:pPr>
            <w:r>
              <w:rPr>
                <w:rFonts w:hint="eastAsia" w:ascii="方正仿宋_GBK" w:hAnsi="方正仿宋_GBK" w:eastAsia="方正仿宋_GBK" w:cs="方正仿宋_GBK"/>
                <w:spacing w:val="-6"/>
                <w:sz w:val="18"/>
                <w:szCs w:val="18"/>
              </w:rPr>
              <w:t>《中华人民共和国药品管理法》第十七条；《药品注册管理办法》第十条；《药物临床试验机构管理规定》第十三条</w:t>
            </w:r>
            <w:r>
              <w:rPr>
                <w:rFonts w:hint="eastAsia" w:ascii="方正仿宋_GBK" w:hAnsi="方正仿宋_GBK" w:eastAsia="方正仿宋_GBK" w:cs="方正仿宋_GBK"/>
                <w:sz w:val="18"/>
                <w:szCs w:val="18"/>
              </w:rPr>
              <w:t>；《药物临床试验质量管理规范》第十三条</w:t>
            </w:r>
            <w:r>
              <w:rPr>
                <w:rFonts w:hint="eastAsia" w:ascii="方正仿宋_GBK" w:hAnsi="方正仿宋_GBK" w:eastAsia="方正仿宋_GBK" w:cs="方正仿宋_GBK"/>
                <w:spacing w:val="-6"/>
                <w:sz w:val="18"/>
                <w:szCs w:val="18"/>
              </w:rPr>
              <w:t>。</w:t>
            </w:r>
          </w:p>
        </w:tc>
      </w:tr>
      <w:tr w14:paraId="5F91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741" w:type="dxa"/>
            <w:vMerge w:val="continue"/>
            <w:vAlign w:val="center"/>
          </w:tcPr>
          <w:p w14:paraId="4CFF642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196A2F1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42</w:t>
            </w:r>
          </w:p>
        </w:tc>
        <w:tc>
          <w:tcPr>
            <w:tcW w:w="8505" w:type="dxa"/>
            <w:vAlign w:val="center"/>
          </w:tcPr>
          <w:p w14:paraId="0BA74840">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伦理委员会负责审查药物临床试验方案的科学性和伦理合理性，审核和监督药物临床试验研究者的资质，保护受试者特别是弱势受试者的权益和安全。审查临床试验实施中为消除对受试者紧急危害的试验方案的偏离或者修改、增加受试者风险或者显著影响临床试验实施的改变。</w:t>
            </w:r>
          </w:p>
        </w:tc>
        <w:tc>
          <w:tcPr>
            <w:tcW w:w="5500" w:type="dxa"/>
            <w:vAlign w:val="center"/>
          </w:tcPr>
          <w:p w14:paraId="182608C5">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《中华人民共和国药品管理法》第二十条、第二十一条、第二十二条；《药品注册管理办法》第二十五条、第三十条；《药物临床试验机构管理规定》第十三条；《药物临床试验质量管理规范》第十二条。</w:t>
            </w:r>
          </w:p>
        </w:tc>
      </w:tr>
      <w:tr w14:paraId="7211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741" w:type="dxa"/>
            <w:vMerge w:val="restart"/>
            <w:vAlign w:val="center"/>
          </w:tcPr>
          <w:p w14:paraId="449070E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伦理委员会运行</w:t>
            </w:r>
          </w:p>
        </w:tc>
        <w:tc>
          <w:tcPr>
            <w:tcW w:w="737" w:type="dxa"/>
            <w:vAlign w:val="center"/>
          </w:tcPr>
          <w:p w14:paraId="44BA4A7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43</w:t>
            </w:r>
          </w:p>
        </w:tc>
        <w:tc>
          <w:tcPr>
            <w:tcW w:w="8505" w:type="dxa"/>
            <w:vAlign w:val="center"/>
          </w:tcPr>
          <w:p w14:paraId="1CD3B2AF">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对严重不良事件、可疑且非预期严重不良反应及可能影响受试者安全的其他信息的审查符合GCP及卫生健康主管部门的要求。当临床试验未按照相关要求实施或者受试者出现非预期严重损害时，对暂停或终止该临床试验的必要性进行审查。对正在实施的临床试验定期跟踪审查。</w:t>
            </w:r>
          </w:p>
        </w:tc>
        <w:tc>
          <w:tcPr>
            <w:tcW w:w="5500" w:type="dxa"/>
            <w:vAlign w:val="center"/>
          </w:tcPr>
          <w:p w14:paraId="2196F592">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《中华人民共和国药品管理法》第二十二条；《药物临床试验机构管理规定》第十三条；《药物临床试验质量管理规范》第十二条。</w:t>
            </w:r>
          </w:p>
        </w:tc>
      </w:tr>
      <w:tr w14:paraId="0A87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741" w:type="dxa"/>
            <w:vMerge w:val="continue"/>
            <w:vAlign w:val="center"/>
          </w:tcPr>
          <w:p w14:paraId="67136AB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24651E5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44</w:t>
            </w:r>
          </w:p>
        </w:tc>
        <w:tc>
          <w:tcPr>
            <w:tcW w:w="8505" w:type="dxa"/>
            <w:vAlign w:val="center"/>
          </w:tcPr>
          <w:p w14:paraId="3C49354F">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应受理并处理受试者的相关诉求。</w:t>
            </w:r>
          </w:p>
        </w:tc>
        <w:tc>
          <w:tcPr>
            <w:tcW w:w="5500" w:type="dxa"/>
            <w:vAlign w:val="center"/>
          </w:tcPr>
          <w:p w14:paraId="6C26FEA7">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pacing w:val="-6"/>
                <w:kern w:val="0"/>
                <w:sz w:val="18"/>
                <w:szCs w:val="18"/>
              </w:rPr>
            </w:pPr>
            <w:r>
              <w:rPr>
                <w:rFonts w:hint="eastAsia" w:ascii="方正仿宋_GBK" w:hAnsi="方正仿宋_GBK" w:eastAsia="方正仿宋_GBK" w:cs="方正仿宋_GBK"/>
                <w:spacing w:val="-6"/>
                <w:sz w:val="18"/>
                <w:szCs w:val="18"/>
              </w:rPr>
              <w:t>《中华人民共和国药品管理法》第十七条；《药品注册管理办法》第十条；《药物临床试验机构管理规定》第十三条</w:t>
            </w:r>
            <w:r>
              <w:rPr>
                <w:rFonts w:hint="eastAsia" w:ascii="方正仿宋_GBK" w:hAnsi="方正仿宋_GBK" w:eastAsia="方正仿宋_GBK" w:cs="方正仿宋_GBK"/>
                <w:sz w:val="18"/>
                <w:szCs w:val="18"/>
              </w:rPr>
              <w:t>；《药物临床试验质量管理规范》第十二条</w:t>
            </w:r>
            <w:r>
              <w:rPr>
                <w:rFonts w:hint="eastAsia" w:ascii="方正仿宋_GBK" w:hAnsi="方正仿宋_GBK" w:eastAsia="方正仿宋_GBK" w:cs="方正仿宋_GBK"/>
                <w:spacing w:val="-6"/>
                <w:sz w:val="18"/>
                <w:szCs w:val="18"/>
              </w:rPr>
              <w:t>。</w:t>
            </w:r>
          </w:p>
        </w:tc>
      </w:tr>
      <w:tr w14:paraId="58F9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741" w:type="dxa"/>
            <w:vMerge w:val="continue"/>
            <w:vAlign w:val="center"/>
          </w:tcPr>
          <w:p w14:paraId="4C02E64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37D5483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45</w:t>
            </w:r>
          </w:p>
        </w:tc>
        <w:tc>
          <w:tcPr>
            <w:tcW w:w="8505" w:type="dxa"/>
            <w:vAlign w:val="center"/>
          </w:tcPr>
          <w:p w14:paraId="0B27F345">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应保留伦理审查的全部记录，包括伦理审查的书面记录、委员信息、递交的文件、会议记录和相关往来记录等。所有记录至少保存至临床试验结束后5年。</w:t>
            </w:r>
          </w:p>
        </w:tc>
        <w:tc>
          <w:tcPr>
            <w:tcW w:w="5500" w:type="dxa"/>
            <w:vAlign w:val="center"/>
          </w:tcPr>
          <w:p w14:paraId="344A1F53">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pacing w:val="-6"/>
                <w:kern w:val="0"/>
                <w:sz w:val="18"/>
                <w:szCs w:val="18"/>
              </w:rPr>
            </w:pPr>
            <w:r>
              <w:rPr>
                <w:rFonts w:hint="eastAsia" w:ascii="方正仿宋_GBK" w:hAnsi="方正仿宋_GBK" w:eastAsia="方正仿宋_GBK" w:cs="方正仿宋_GBK"/>
                <w:spacing w:val="-6"/>
                <w:sz w:val="18"/>
                <w:szCs w:val="18"/>
              </w:rPr>
              <w:t>《中华人民共和国药品管理法》第十七条；《药品注册管理办法》第十条；《药物临床试验机构管理规定》第十三条</w:t>
            </w:r>
            <w:r>
              <w:rPr>
                <w:rFonts w:hint="eastAsia" w:ascii="方正仿宋_GBK" w:hAnsi="方正仿宋_GBK" w:eastAsia="方正仿宋_GBK" w:cs="方正仿宋_GBK"/>
                <w:sz w:val="18"/>
                <w:szCs w:val="18"/>
              </w:rPr>
              <w:t>；《药物临床试验质量管理规范》第十五条</w:t>
            </w:r>
            <w:r>
              <w:rPr>
                <w:rFonts w:hint="eastAsia" w:ascii="方正仿宋_GBK" w:hAnsi="方正仿宋_GBK" w:eastAsia="方正仿宋_GBK" w:cs="方正仿宋_GBK"/>
                <w:spacing w:val="-6"/>
                <w:sz w:val="18"/>
                <w:szCs w:val="18"/>
              </w:rPr>
              <w:t>。</w:t>
            </w:r>
          </w:p>
        </w:tc>
      </w:tr>
      <w:tr w14:paraId="61ED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41" w:type="dxa"/>
            <w:vMerge w:val="restart"/>
            <w:vAlign w:val="center"/>
          </w:tcPr>
          <w:p w14:paraId="506B887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监督管理</w:t>
            </w:r>
          </w:p>
        </w:tc>
        <w:tc>
          <w:tcPr>
            <w:tcW w:w="737" w:type="dxa"/>
            <w:vAlign w:val="center"/>
          </w:tcPr>
          <w:p w14:paraId="4D7CC6D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46</w:t>
            </w:r>
          </w:p>
        </w:tc>
        <w:tc>
          <w:tcPr>
            <w:tcW w:w="8505" w:type="dxa"/>
            <w:vAlign w:val="center"/>
          </w:tcPr>
          <w:p w14:paraId="503B8EC6">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应按照规定遵守药物临床试验质量管理规范。不得提供虚假的证明、数据、资料、样品或者有其他欺骗行为。</w:t>
            </w:r>
          </w:p>
        </w:tc>
        <w:tc>
          <w:tcPr>
            <w:tcW w:w="5500" w:type="dxa"/>
            <w:vAlign w:val="center"/>
          </w:tcPr>
          <w:p w14:paraId="07811BC6">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《中华人民共和国药品管理法》第一百二十三条；《药品注册管理办法》第一百一十一条。</w:t>
            </w:r>
          </w:p>
        </w:tc>
      </w:tr>
      <w:tr w14:paraId="7AE5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41" w:type="dxa"/>
            <w:vMerge w:val="continue"/>
            <w:vAlign w:val="center"/>
          </w:tcPr>
          <w:p w14:paraId="49B6297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25FB3A4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47</w:t>
            </w:r>
          </w:p>
        </w:tc>
        <w:tc>
          <w:tcPr>
            <w:tcW w:w="8505" w:type="dxa"/>
            <w:vAlign w:val="center"/>
          </w:tcPr>
          <w:p w14:paraId="0957533A">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不得未经批准开展药物临床试验、未备案开展生物等效性试验。</w:t>
            </w:r>
          </w:p>
        </w:tc>
        <w:tc>
          <w:tcPr>
            <w:tcW w:w="5500" w:type="dxa"/>
            <w:vAlign w:val="center"/>
          </w:tcPr>
          <w:p w14:paraId="38ECF2DA">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《中华人民共和国药品管理法》底一百二十五条、第一百二十七条；《药品注册管理办法》第一百一十四条。</w:t>
            </w:r>
          </w:p>
        </w:tc>
      </w:tr>
      <w:tr w14:paraId="2407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41" w:type="dxa"/>
            <w:vMerge w:val="continue"/>
            <w:vAlign w:val="center"/>
          </w:tcPr>
          <w:p w14:paraId="31E58CF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p>
        </w:tc>
        <w:tc>
          <w:tcPr>
            <w:tcW w:w="737" w:type="dxa"/>
            <w:vAlign w:val="center"/>
          </w:tcPr>
          <w:p w14:paraId="13588CD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48</w:t>
            </w:r>
          </w:p>
        </w:tc>
        <w:tc>
          <w:tcPr>
            <w:tcW w:w="8505" w:type="dxa"/>
            <w:vAlign w:val="center"/>
          </w:tcPr>
          <w:p w14:paraId="253BED8A">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在药物临床试验期间，发现存在安全性问题或者其他风险，应及时向临床试验申办者报告。</w:t>
            </w:r>
          </w:p>
        </w:tc>
        <w:tc>
          <w:tcPr>
            <w:tcW w:w="5500" w:type="dxa"/>
            <w:vAlign w:val="center"/>
          </w:tcPr>
          <w:p w14:paraId="0F50CE2A">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《中华人民共和国药品管理法》第二十二条；《药品注册管理办法》第一百一十五条。</w:t>
            </w:r>
          </w:p>
        </w:tc>
      </w:tr>
    </w:tbl>
    <w:p w14:paraId="7D80803E">
      <w:pPr>
        <w:rPr>
          <w:rFonts w:ascii="Times New Roman" w:hAnsi="Times New Roman"/>
        </w:rPr>
      </w:pPr>
    </w:p>
    <w:tbl>
      <w:tblPr>
        <w:tblStyle w:val="9"/>
        <w:tblW w:w="15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2"/>
        <w:gridCol w:w="742"/>
        <w:gridCol w:w="8497"/>
        <w:gridCol w:w="5503"/>
      </w:tblGrid>
      <w:tr w14:paraId="5AED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9" w:hRule="atLeast"/>
          <w:tblHeader/>
          <w:jc w:val="center"/>
        </w:trPr>
        <w:tc>
          <w:tcPr>
            <w:tcW w:w="742" w:type="dxa"/>
            <w:vAlign w:val="center"/>
          </w:tcPr>
          <w:p w14:paraId="0AE835C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黑体_GBK" w:hAnsi="方正黑体_GBK" w:eastAsia="方正黑体_GBK" w:cs="方正黑体_GBK"/>
                <w:sz w:val="18"/>
                <w:szCs w:val="18"/>
              </w:rPr>
            </w:pPr>
            <w:r>
              <w:rPr>
                <w:rFonts w:hint="eastAsia" w:ascii="方正黑体_GBK" w:hAnsi="方正黑体_GBK" w:eastAsia="方正黑体_GBK" w:cs="方正黑体_GBK"/>
                <w:sz w:val="18"/>
                <w:szCs w:val="18"/>
              </w:rPr>
              <w:t>表2</w:t>
            </w:r>
          </w:p>
        </w:tc>
        <w:tc>
          <w:tcPr>
            <w:tcW w:w="14742" w:type="dxa"/>
            <w:gridSpan w:val="3"/>
            <w:vAlign w:val="center"/>
          </w:tcPr>
          <w:p w14:paraId="19EFB42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药物非临床安全性评价研究机构主体责任清单</w:t>
            </w:r>
          </w:p>
        </w:tc>
      </w:tr>
      <w:tr w14:paraId="24B8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9" w:hRule="atLeast"/>
          <w:tblHeader/>
          <w:jc w:val="center"/>
        </w:trPr>
        <w:tc>
          <w:tcPr>
            <w:tcW w:w="742" w:type="dxa"/>
            <w:vAlign w:val="center"/>
          </w:tcPr>
          <w:p w14:paraId="2E7E0A6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黑体_GBK" w:hAnsi="方正黑体_GBK" w:eastAsia="方正黑体_GBK" w:cs="方正黑体_GBK"/>
                <w:sz w:val="18"/>
                <w:szCs w:val="18"/>
              </w:rPr>
            </w:pPr>
            <w:r>
              <w:rPr>
                <w:rFonts w:hint="eastAsia" w:ascii="方正黑体_GBK" w:hAnsi="方正黑体_GBK" w:eastAsia="方正黑体_GBK" w:cs="方正黑体_GBK"/>
                <w:sz w:val="18"/>
                <w:szCs w:val="18"/>
              </w:rPr>
              <w:t>分类</w:t>
            </w:r>
          </w:p>
        </w:tc>
        <w:tc>
          <w:tcPr>
            <w:tcW w:w="742" w:type="dxa"/>
            <w:vAlign w:val="center"/>
          </w:tcPr>
          <w:p w14:paraId="20AFA0D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黑体_GBK" w:hAnsi="方正黑体_GBK" w:eastAsia="方正黑体_GBK" w:cs="方正黑体_GBK"/>
                <w:sz w:val="18"/>
                <w:szCs w:val="18"/>
              </w:rPr>
            </w:pPr>
            <w:r>
              <w:rPr>
                <w:rFonts w:hint="eastAsia" w:ascii="方正黑体_GBK" w:hAnsi="方正黑体_GBK" w:eastAsia="方正黑体_GBK" w:cs="方正黑体_GBK"/>
                <w:sz w:val="18"/>
                <w:szCs w:val="18"/>
              </w:rPr>
              <w:t>序号</w:t>
            </w:r>
          </w:p>
        </w:tc>
        <w:tc>
          <w:tcPr>
            <w:tcW w:w="8497" w:type="dxa"/>
            <w:tcMar>
              <w:top w:w="0" w:type="dxa"/>
              <w:left w:w="150" w:type="dxa"/>
              <w:bottom w:w="0" w:type="dxa"/>
              <w:right w:w="0" w:type="dxa"/>
            </w:tcMar>
            <w:vAlign w:val="center"/>
          </w:tcPr>
          <w:p w14:paraId="6DE922A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黑体_GBK" w:hAnsi="方正黑体_GBK" w:eastAsia="方正黑体_GBK" w:cs="方正黑体_GBK"/>
                <w:sz w:val="18"/>
                <w:szCs w:val="18"/>
              </w:rPr>
            </w:pPr>
            <w:r>
              <w:rPr>
                <w:rFonts w:hint="eastAsia" w:ascii="方正黑体_GBK" w:hAnsi="方正黑体_GBK" w:eastAsia="方正黑体_GBK" w:cs="方正黑体_GBK"/>
                <w:sz w:val="18"/>
                <w:szCs w:val="18"/>
              </w:rPr>
              <w:t>主体责任</w:t>
            </w:r>
          </w:p>
        </w:tc>
        <w:tc>
          <w:tcPr>
            <w:tcW w:w="5503" w:type="dxa"/>
            <w:tcMar>
              <w:top w:w="0" w:type="dxa"/>
              <w:left w:w="150" w:type="dxa"/>
              <w:bottom w:w="0" w:type="dxa"/>
              <w:right w:w="0" w:type="dxa"/>
            </w:tcMar>
            <w:vAlign w:val="center"/>
          </w:tcPr>
          <w:p w14:paraId="645AD2A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黑体_GBK" w:hAnsi="方正黑体_GBK" w:eastAsia="方正黑体_GBK" w:cs="方正黑体_GBK"/>
                <w:sz w:val="18"/>
                <w:szCs w:val="18"/>
              </w:rPr>
            </w:pPr>
            <w:r>
              <w:rPr>
                <w:rFonts w:hint="eastAsia" w:ascii="方正黑体_GBK" w:hAnsi="方正黑体_GBK" w:eastAsia="方正黑体_GBK" w:cs="方正黑体_GBK"/>
                <w:sz w:val="18"/>
                <w:szCs w:val="18"/>
              </w:rPr>
              <w:t>责任依据</w:t>
            </w:r>
          </w:p>
        </w:tc>
      </w:tr>
      <w:tr w14:paraId="6C60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3" w:hRule="atLeast"/>
          <w:jc w:val="center"/>
        </w:trPr>
        <w:tc>
          <w:tcPr>
            <w:tcW w:w="742" w:type="dxa"/>
            <w:vMerge w:val="restart"/>
            <w:vAlign w:val="center"/>
          </w:tcPr>
          <w:p w14:paraId="08E0C30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资质</w:t>
            </w:r>
          </w:p>
          <w:p w14:paraId="742D2E4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条件</w:t>
            </w:r>
          </w:p>
        </w:tc>
        <w:tc>
          <w:tcPr>
            <w:tcW w:w="742" w:type="dxa"/>
            <w:vAlign w:val="center"/>
          </w:tcPr>
          <w:p w14:paraId="0A4B5C3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w:t>
            </w:r>
          </w:p>
        </w:tc>
        <w:tc>
          <w:tcPr>
            <w:tcW w:w="8497" w:type="dxa"/>
            <w:tcMar>
              <w:top w:w="0" w:type="dxa"/>
              <w:left w:w="150" w:type="dxa"/>
              <w:bottom w:w="0" w:type="dxa"/>
              <w:right w:w="0" w:type="dxa"/>
            </w:tcMar>
            <w:vAlign w:val="center"/>
          </w:tcPr>
          <w:p w14:paraId="36D91D74">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药物非临床安全性评价研究机构必须执行《药物非临床研究质量管理规范》。</w:t>
            </w:r>
          </w:p>
        </w:tc>
        <w:tc>
          <w:tcPr>
            <w:tcW w:w="5503" w:type="dxa"/>
            <w:tcMar>
              <w:top w:w="0" w:type="dxa"/>
              <w:left w:w="150" w:type="dxa"/>
              <w:bottom w:w="0" w:type="dxa"/>
              <w:right w:w="0" w:type="dxa"/>
            </w:tcMar>
            <w:vAlign w:val="center"/>
          </w:tcPr>
          <w:p w14:paraId="565F6F69">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《中华人民共和国药品管理法》第十七条；《中华人民共和国药品管理法实施条例》第二十八条。</w:t>
            </w:r>
          </w:p>
        </w:tc>
      </w:tr>
      <w:tr w14:paraId="06DF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2" w:hRule="atLeast"/>
          <w:jc w:val="center"/>
        </w:trPr>
        <w:tc>
          <w:tcPr>
            <w:tcW w:w="742" w:type="dxa"/>
            <w:vMerge w:val="continue"/>
            <w:vAlign w:val="center"/>
          </w:tcPr>
          <w:p w14:paraId="1BB14EF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55209DE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w:t>
            </w:r>
          </w:p>
        </w:tc>
        <w:tc>
          <w:tcPr>
            <w:tcW w:w="8497" w:type="dxa"/>
            <w:tcMar>
              <w:top w:w="0" w:type="dxa"/>
              <w:left w:w="150" w:type="dxa"/>
              <w:bottom w:w="0" w:type="dxa"/>
              <w:right w:w="0" w:type="dxa"/>
            </w:tcMar>
            <w:vAlign w:val="center"/>
          </w:tcPr>
          <w:p w14:paraId="2352EBB4">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GLP证书载明的事项和内容发生变化的，GLP机构应当向国家药品监督管理局提出变更申请。</w:t>
            </w:r>
          </w:p>
        </w:tc>
        <w:tc>
          <w:tcPr>
            <w:tcW w:w="5503" w:type="dxa"/>
            <w:tcMar>
              <w:top w:w="0" w:type="dxa"/>
              <w:left w:w="150" w:type="dxa"/>
              <w:bottom w:w="0" w:type="dxa"/>
              <w:right w:w="0" w:type="dxa"/>
            </w:tcMar>
            <w:vAlign w:val="center"/>
          </w:tcPr>
          <w:p w14:paraId="456085F6">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《药物非临床研究质量管理规范认证管理办法》第二十三条。</w:t>
            </w:r>
          </w:p>
        </w:tc>
      </w:tr>
      <w:tr w14:paraId="21C8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0" w:hRule="atLeast"/>
          <w:jc w:val="center"/>
        </w:trPr>
        <w:tc>
          <w:tcPr>
            <w:tcW w:w="742" w:type="dxa"/>
            <w:vMerge w:val="continue"/>
            <w:vAlign w:val="center"/>
          </w:tcPr>
          <w:p w14:paraId="65E9E42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712C5F5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w:t>
            </w:r>
          </w:p>
        </w:tc>
        <w:tc>
          <w:tcPr>
            <w:tcW w:w="8497" w:type="dxa"/>
            <w:tcMar>
              <w:top w:w="0" w:type="dxa"/>
              <w:left w:w="150" w:type="dxa"/>
              <w:bottom w:w="0" w:type="dxa"/>
              <w:right w:w="0" w:type="dxa"/>
            </w:tcMar>
            <w:vAlign w:val="center"/>
          </w:tcPr>
          <w:p w14:paraId="5E52A100">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GLP机构发生与质量管理体系相关的组织机构、机构负责人或质量保证部门负责人、试验设施变更，或者出现影响质量管理体系运行的其他变更时，应当自发生变更之日起20日内向省级药品监督管理部门提交书面报告。</w:t>
            </w:r>
          </w:p>
        </w:tc>
        <w:tc>
          <w:tcPr>
            <w:tcW w:w="5503" w:type="dxa"/>
            <w:tcMar>
              <w:top w:w="0" w:type="dxa"/>
              <w:left w:w="150" w:type="dxa"/>
              <w:bottom w:w="0" w:type="dxa"/>
              <w:right w:w="0" w:type="dxa"/>
            </w:tcMar>
            <w:vAlign w:val="center"/>
          </w:tcPr>
          <w:p w14:paraId="1D6D80C7">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《药物非临床研究质量管理规范认证管理办法》第二十七条。</w:t>
            </w:r>
          </w:p>
        </w:tc>
      </w:tr>
      <w:tr w14:paraId="2D36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8" w:hRule="atLeast"/>
          <w:jc w:val="center"/>
        </w:trPr>
        <w:tc>
          <w:tcPr>
            <w:tcW w:w="742" w:type="dxa"/>
            <w:vMerge w:val="continue"/>
            <w:vAlign w:val="center"/>
          </w:tcPr>
          <w:p w14:paraId="6D17B39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7207657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w:t>
            </w:r>
          </w:p>
        </w:tc>
        <w:tc>
          <w:tcPr>
            <w:tcW w:w="8497" w:type="dxa"/>
            <w:tcMar>
              <w:top w:w="0" w:type="dxa"/>
              <w:left w:w="150" w:type="dxa"/>
              <w:bottom w:w="0" w:type="dxa"/>
              <w:right w:w="0" w:type="dxa"/>
            </w:tcMar>
            <w:vAlign w:val="center"/>
          </w:tcPr>
          <w:p w14:paraId="3ADE1174">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GLP机构应当在证书有效期届满前6个月，按照本办法第六条要求提出延续申请，资料审查、现场检查和审批的程序和时限参照本办法有关规定执行。未在规定时限内提出延续申请的，证书到期后不得继续开展用于药品注册申请的药物非临床安全性评价研究。</w:t>
            </w:r>
          </w:p>
        </w:tc>
        <w:tc>
          <w:tcPr>
            <w:tcW w:w="5503" w:type="dxa"/>
            <w:tcMar>
              <w:top w:w="0" w:type="dxa"/>
              <w:left w:w="150" w:type="dxa"/>
              <w:bottom w:w="0" w:type="dxa"/>
              <w:right w:w="0" w:type="dxa"/>
            </w:tcMar>
            <w:vAlign w:val="center"/>
          </w:tcPr>
          <w:p w14:paraId="6193B900">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《药物非临床研究质量管理规范认证管理办法》第二十六条。</w:t>
            </w:r>
          </w:p>
        </w:tc>
      </w:tr>
      <w:tr w14:paraId="3E13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7" w:hRule="atLeast"/>
          <w:jc w:val="center"/>
        </w:trPr>
        <w:tc>
          <w:tcPr>
            <w:tcW w:w="742" w:type="dxa"/>
            <w:vMerge w:val="continue"/>
            <w:vAlign w:val="center"/>
          </w:tcPr>
          <w:p w14:paraId="72D5E90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3E118DF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8497" w:type="dxa"/>
            <w:tcMar>
              <w:top w:w="0" w:type="dxa"/>
              <w:left w:w="150" w:type="dxa"/>
              <w:bottom w:w="0" w:type="dxa"/>
              <w:right w:w="0" w:type="dxa"/>
            </w:tcMar>
            <w:vAlign w:val="center"/>
          </w:tcPr>
          <w:p w14:paraId="548BF932">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GLP机构应当于每年1月向所在地省级药品监督管理部门报送上一年度执行GLP的报告。</w:t>
            </w:r>
          </w:p>
        </w:tc>
        <w:tc>
          <w:tcPr>
            <w:tcW w:w="5503" w:type="dxa"/>
            <w:tcMar>
              <w:top w:w="0" w:type="dxa"/>
              <w:left w:w="150" w:type="dxa"/>
              <w:bottom w:w="0" w:type="dxa"/>
              <w:right w:w="0" w:type="dxa"/>
            </w:tcMar>
            <w:vAlign w:val="center"/>
          </w:tcPr>
          <w:p w14:paraId="0F961580">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pacing w:val="-6"/>
                <w:sz w:val="18"/>
                <w:szCs w:val="18"/>
              </w:rPr>
            </w:pPr>
            <w:r>
              <w:rPr>
                <w:rFonts w:hint="eastAsia" w:ascii="方正仿宋_GBK" w:hAnsi="方正仿宋_GBK" w:eastAsia="方正仿宋_GBK" w:cs="方正仿宋_GBK"/>
                <w:spacing w:val="-6"/>
                <w:sz w:val="18"/>
                <w:szCs w:val="18"/>
              </w:rPr>
              <w:t>《药物非临床研究质量管理规范认证管理办法》第二十八条</w:t>
            </w:r>
            <w:r>
              <w:rPr>
                <w:rFonts w:hint="eastAsia" w:ascii="方正仿宋_GBK" w:hAnsi="方正仿宋_GBK" w:eastAsia="方正仿宋_GBK" w:cs="方正仿宋_GBK"/>
                <w:sz w:val="18"/>
                <w:szCs w:val="18"/>
              </w:rPr>
              <w:t>。</w:t>
            </w:r>
          </w:p>
        </w:tc>
      </w:tr>
      <w:tr w14:paraId="46B9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3" w:hRule="atLeast"/>
          <w:jc w:val="center"/>
        </w:trPr>
        <w:tc>
          <w:tcPr>
            <w:tcW w:w="742" w:type="dxa"/>
            <w:vMerge w:val="continue"/>
            <w:vAlign w:val="center"/>
          </w:tcPr>
          <w:p w14:paraId="7A65A00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34CA16E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8497" w:type="dxa"/>
            <w:tcMar>
              <w:top w:w="0" w:type="dxa"/>
              <w:left w:w="150" w:type="dxa"/>
              <w:bottom w:w="0" w:type="dxa"/>
              <w:right w:w="0" w:type="dxa"/>
            </w:tcMar>
            <w:vAlign w:val="center"/>
          </w:tcPr>
          <w:p w14:paraId="0018C92D">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GLP机构应当对检查发现问题进行整改，及时将整改情况报告检查部门以及所在地省级药品监督管理部门。</w:t>
            </w:r>
          </w:p>
        </w:tc>
        <w:tc>
          <w:tcPr>
            <w:tcW w:w="5503" w:type="dxa"/>
            <w:tcMar>
              <w:top w:w="0" w:type="dxa"/>
              <w:left w:w="150" w:type="dxa"/>
              <w:bottom w:w="0" w:type="dxa"/>
              <w:right w:w="0" w:type="dxa"/>
            </w:tcMar>
            <w:vAlign w:val="center"/>
          </w:tcPr>
          <w:p w14:paraId="768E21C4">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《药物非临床研究质量管理规范认证管理办法》第三十三条。</w:t>
            </w:r>
          </w:p>
        </w:tc>
      </w:tr>
      <w:tr w14:paraId="61F2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1" w:hRule="exact"/>
          <w:jc w:val="center"/>
        </w:trPr>
        <w:tc>
          <w:tcPr>
            <w:tcW w:w="742" w:type="dxa"/>
            <w:vMerge w:val="continue"/>
            <w:vAlign w:val="center"/>
          </w:tcPr>
          <w:p w14:paraId="68D14D7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14B98E6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w:t>
            </w:r>
          </w:p>
        </w:tc>
        <w:tc>
          <w:tcPr>
            <w:tcW w:w="8497" w:type="dxa"/>
            <w:tcMar>
              <w:top w:w="0" w:type="dxa"/>
              <w:left w:w="150" w:type="dxa"/>
              <w:bottom w:w="0" w:type="dxa"/>
              <w:right w:w="0" w:type="dxa"/>
            </w:tcMar>
            <w:vAlign w:val="center"/>
          </w:tcPr>
          <w:p w14:paraId="10E55BD0">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GLP机构应当严格执行GLP，接受和配合药品监督管理部门依法进行的检查，不得以任何理由拒绝、逃避、拖延或者阻碍检查。拒绝或者不配合检查的，相关检查按照不符合GLP要求处理。</w:t>
            </w:r>
          </w:p>
        </w:tc>
        <w:tc>
          <w:tcPr>
            <w:tcW w:w="5503" w:type="dxa"/>
            <w:tcMar>
              <w:top w:w="0" w:type="dxa"/>
              <w:left w:w="150" w:type="dxa"/>
              <w:bottom w:w="0" w:type="dxa"/>
              <w:right w:w="0" w:type="dxa"/>
            </w:tcMar>
            <w:vAlign w:val="center"/>
          </w:tcPr>
          <w:p w14:paraId="573A9948">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《药物非临床研究质量管理规范认证管理办法》第三十四条。</w:t>
            </w:r>
          </w:p>
        </w:tc>
      </w:tr>
      <w:tr w14:paraId="1CE4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7" w:hRule="atLeast"/>
          <w:jc w:val="center"/>
        </w:trPr>
        <w:tc>
          <w:tcPr>
            <w:tcW w:w="742" w:type="dxa"/>
            <w:vMerge w:val="continue"/>
            <w:vAlign w:val="center"/>
          </w:tcPr>
          <w:p w14:paraId="1F4859F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705153B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8497" w:type="dxa"/>
            <w:tcMar>
              <w:top w:w="0" w:type="dxa"/>
              <w:left w:w="150" w:type="dxa"/>
              <w:bottom w:w="0" w:type="dxa"/>
              <w:right w:w="0" w:type="dxa"/>
            </w:tcMar>
            <w:vAlign w:val="center"/>
          </w:tcPr>
          <w:p w14:paraId="11E8B5A2">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隐瞒有关情况或者提供虚假材料申请GLP认证的，不予批准，依法处理。</w:t>
            </w:r>
          </w:p>
        </w:tc>
        <w:tc>
          <w:tcPr>
            <w:tcW w:w="5503" w:type="dxa"/>
            <w:tcMar>
              <w:top w:w="0" w:type="dxa"/>
              <w:left w:w="150" w:type="dxa"/>
              <w:bottom w:w="0" w:type="dxa"/>
              <w:right w:w="0" w:type="dxa"/>
            </w:tcMar>
            <w:vAlign w:val="center"/>
          </w:tcPr>
          <w:p w14:paraId="769E8397">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pacing w:val="-6"/>
                <w:sz w:val="18"/>
                <w:szCs w:val="18"/>
              </w:rPr>
            </w:pPr>
            <w:r>
              <w:rPr>
                <w:rFonts w:hint="eastAsia" w:ascii="方正仿宋_GBK" w:hAnsi="方正仿宋_GBK" w:eastAsia="方正仿宋_GBK" w:cs="方正仿宋_GBK"/>
                <w:spacing w:val="-6"/>
                <w:sz w:val="18"/>
                <w:szCs w:val="18"/>
              </w:rPr>
              <w:t>《药物非临床研究质量管理规范认证管理办法》第三十七条</w:t>
            </w:r>
            <w:r>
              <w:rPr>
                <w:rFonts w:hint="eastAsia" w:ascii="方正仿宋_GBK" w:hAnsi="方正仿宋_GBK" w:eastAsia="方正仿宋_GBK" w:cs="方正仿宋_GBK"/>
                <w:sz w:val="18"/>
                <w:szCs w:val="18"/>
              </w:rPr>
              <w:t>。</w:t>
            </w:r>
          </w:p>
        </w:tc>
      </w:tr>
      <w:tr w14:paraId="54F0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6" w:hRule="atLeast"/>
          <w:jc w:val="center"/>
        </w:trPr>
        <w:tc>
          <w:tcPr>
            <w:tcW w:w="742" w:type="dxa"/>
            <w:vMerge w:val="restart"/>
            <w:vAlign w:val="center"/>
          </w:tcPr>
          <w:p w14:paraId="691A3A5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组织</w:t>
            </w:r>
          </w:p>
          <w:p w14:paraId="0B55C9D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w:t>
            </w:r>
          </w:p>
          <w:p w14:paraId="38BC54A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和人</w:t>
            </w:r>
          </w:p>
          <w:p w14:paraId="3CE505F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员管</w:t>
            </w:r>
          </w:p>
          <w:p w14:paraId="1BDE5C8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理</w:t>
            </w:r>
          </w:p>
        </w:tc>
        <w:tc>
          <w:tcPr>
            <w:tcW w:w="742" w:type="dxa"/>
            <w:vAlign w:val="center"/>
          </w:tcPr>
          <w:p w14:paraId="17609D8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9</w:t>
            </w:r>
          </w:p>
        </w:tc>
        <w:tc>
          <w:tcPr>
            <w:tcW w:w="8497" w:type="dxa"/>
            <w:tcMar>
              <w:top w:w="0" w:type="dxa"/>
              <w:left w:w="150" w:type="dxa"/>
              <w:bottom w:w="0" w:type="dxa"/>
              <w:right w:w="0" w:type="dxa"/>
            </w:tcMar>
            <w:vAlign w:val="center"/>
          </w:tcPr>
          <w:p w14:paraId="34B850ED">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研究机构应当建立完善的组织管理体系，配备机构负责人、质量保证部门和相应的工作人员。</w:t>
            </w:r>
          </w:p>
        </w:tc>
        <w:tc>
          <w:tcPr>
            <w:tcW w:w="5503" w:type="dxa"/>
            <w:tcMar>
              <w:top w:w="0" w:type="dxa"/>
              <w:left w:w="150" w:type="dxa"/>
              <w:bottom w:w="0" w:type="dxa"/>
              <w:right w:w="0" w:type="dxa"/>
            </w:tcMar>
            <w:vAlign w:val="center"/>
          </w:tcPr>
          <w:p w14:paraId="249FC788">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《中华人民共和国药品管理法》第十八条；《中华人民共和国药品管理法实施条例》第二十八条；《药物非临床研究质量管理规范》第五条。</w:t>
            </w:r>
          </w:p>
        </w:tc>
      </w:tr>
      <w:tr w14:paraId="30B3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5" w:hRule="atLeast"/>
          <w:jc w:val="center"/>
        </w:trPr>
        <w:tc>
          <w:tcPr>
            <w:tcW w:w="742" w:type="dxa"/>
            <w:vMerge w:val="continue"/>
            <w:vAlign w:val="center"/>
          </w:tcPr>
          <w:p w14:paraId="758BDD6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5169518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8497" w:type="dxa"/>
            <w:tcMar>
              <w:top w:w="0" w:type="dxa"/>
              <w:left w:w="150" w:type="dxa"/>
              <w:bottom w:w="0" w:type="dxa"/>
              <w:right w:w="0" w:type="dxa"/>
            </w:tcMar>
            <w:vAlign w:val="center"/>
          </w:tcPr>
          <w:p w14:paraId="16A06A5A">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研究机构的工作人员至少应当接受过与其工作相关的教育或者专业培训，具备所承担工作需要的知识、工作经验和业务能力；</w:t>
            </w:r>
          </w:p>
          <w:p w14:paraId="513A8666">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掌握本规范中与其工作相关的要求，并严格执行。机构负责人应当确保工作人员清楚地理解自己的职责及所承担的工作内容，如有必要应当提供与这些工作相关的培训。</w:t>
            </w:r>
          </w:p>
        </w:tc>
        <w:tc>
          <w:tcPr>
            <w:tcW w:w="5503" w:type="dxa"/>
            <w:tcMar>
              <w:top w:w="0" w:type="dxa"/>
              <w:left w:w="150" w:type="dxa"/>
              <w:bottom w:w="0" w:type="dxa"/>
              <w:right w:w="0" w:type="dxa"/>
            </w:tcMar>
            <w:vAlign w:val="center"/>
          </w:tcPr>
          <w:p w14:paraId="3A508E70">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《中华人民共和国药品管理法》第十八条；《中华人民共和国药品管理法实施条例》第二十八条；《药物非临床研究质量管理规范》第六条（一）（二）、第七条（四）。</w:t>
            </w:r>
          </w:p>
        </w:tc>
      </w:tr>
      <w:tr w14:paraId="06AF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0" w:hRule="atLeast"/>
          <w:jc w:val="center"/>
        </w:trPr>
        <w:tc>
          <w:tcPr>
            <w:tcW w:w="742" w:type="dxa"/>
            <w:vMerge w:val="continue"/>
            <w:vAlign w:val="center"/>
          </w:tcPr>
          <w:p w14:paraId="43617B5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223DCA8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11</w:t>
            </w:r>
          </w:p>
        </w:tc>
        <w:tc>
          <w:tcPr>
            <w:tcW w:w="8497" w:type="dxa"/>
            <w:tcMar>
              <w:top w:w="0" w:type="dxa"/>
              <w:left w:w="150" w:type="dxa"/>
              <w:bottom w:w="0" w:type="dxa"/>
              <w:right w:w="0" w:type="dxa"/>
            </w:tcMar>
            <w:vAlign w:val="center"/>
          </w:tcPr>
          <w:p w14:paraId="1AFFC469">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机构负责人应确保建立工作人员的教育背景、工作经历、培训情况、岗位描述等资料，并归档保存、及时更新。</w:t>
            </w:r>
          </w:p>
        </w:tc>
        <w:tc>
          <w:tcPr>
            <w:tcW w:w="5503" w:type="dxa"/>
            <w:tcMar>
              <w:top w:w="0" w:type="dxa"/>
              <w:left w:w="150" w:type="dxa"/>
              <w:bottom w:w="0" w:type="dxa"/>
              <w:right w:w="0" w:type="dxa"/>
            </w:tcMar>
            <w:vAlign w:val="center"/>
          </w:tcPr>
          <w:p w14:paraId="5EA5A97C">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w:t>
            </w:r>
            <w:r>
              <w:rPr>
                <w:rFonts w:hint="eastAsia" w:ascii="方正仿宋_GBK" w:hAnsi="方正仿宋_GBK" w:eastAsia="方正仿宋_GBK" w:cs="方正仿宋_GBK"/>
                <w:spacing w:val="-6"/>
                <w:sz w:val="18"/>
                <w:szCs w:val="18"/>
              </w:rPr>
              <w:t>华人民共和国药品管理法实施条例》第二十八条；《药物非临床研究质量管理规范》第七条（三）</w:t>
            </w:r>
            <w:r>
              <w:rPr>
                <w:rFonts w:hint="eastAsia" w:ascii="方正仿宋_GBK" w:hAnsi="方正仿宋_GBK" w:eastAsia="方正仿宋_GBK" w:cs="方正仿宋_GBK"/>
                <w:sz w:val="18"/>
                <w:szCs w:val="18"/>
              </w:rPr>
              <w:t>。</w:t>
            </w:r>
          </w:p>
        </w:tc>
      </w:tr>
      <w:tr w14:paraId="09B7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94" w:hRule="atLeast"/>
          <w:jc w:val="center"/>
        </w:trPr>
        <w:tc>
          <w:tcPr>
            <w:tcW w:w="742" w:type="dxa"/>
            <w:vMerge w:val="continue"/>
            <w:vAlign w:val="center"/>
          </w:tcPr>
          <w:p w14:paraId="676EC2D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339AF63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12</w:t>
            </w:r>
          </w:p>
        </w:tc>
        <w:tc>
          <w:tcPr>
            <w:tcW w:w="8497" w:type="dxa"/>
            <w:tcMar>
              <w:top w:w="0" w:type="dxa"/>
              <w:left w:w="150" w:type="dxa"/>
              <w:bottom w:w="0" w:type="dxa"/>
              <w:right w:w="0" w:type="dxa"/>
            </w:tcMar>
            <w:vAlign w:val="center"/>
          </w:tcPr>
          <w:p w14:paraId="518DB1FB">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研究机构的工作人员应定期进行体检，制定工作人员的健康管理制度。</w:t>
            </w:r>
          </w:p>
        </w:tc>
        <w:tc>
          <w:tcPr>
            <w:tcW w:w="5503" w:type="dxa"/>
            <w:tcMar>
              <w:top w:w="0" w:type="dxa"/>
              <w:left w:w="150" w:type="dxa"/>
              <w:bottom w:w="0" w:type="dxa"/>
              <w:right w:w="0" w:type="dxa"/>
            </w:tcMar>
            <w:vAlign w:val="center"/>
          </w:tcPr>
          <w:p w14:paraId="493737A3">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《中华人民共和国药品管理法》第十八条；《中华人民共和国药品管理法实施条例》第二十八条；《药物非临床研究质量管理规范》第六条（六）、第二十二条（十四）。</w:t>
            </w:r>
          </w:p>
        </w:tc>
      </w:tr>
      <w:tr w14:paraId="00AF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04" w:hRule="atLeast"/>
          <w:jc w:val="center"/>
        </w:trPr>
        <w:tc>
          <w:tcPr>
            <w:tcW w:w="742" w:type="dxa"/>
            <w:vMerge w:val="continue"/>
            <w:vAlign w:val="center"/>
          </w:tcPr>
          <w:p w14:paraId="10950F4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76B2243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13</w:t>
            </w:r>
          </w:p>
        </w:tc>
        <w:tc>
          <w:tcPr>
            <w:tcW w:w="8497" w:type="dxa"/>
            <w:tcMar>
              <w:top w:w="0" w:type="dxa"/>
              <w:left w:w="150" w:type="dxa"/>
              <w:bottom w:w="0" w:type="dxa"/>
              <w:right w:w="0" w:type="dxa"/>
            </w:tcMar>
            <w:vAlign w:val="center"/>
          </w:tcPr>
          <w:p w14:paraId="036BB063">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机构负责人应确保在研究开始前为每个试验指定一名具有适当资质、经验和培训经历的专题负责人，专题负责人的更换应当按照规定的程序进行并予以记录；专题负责人对研究的执行和总结报告负责。</w:t>
            </w:r>
          </w:p>
        </w:tc>
        <w:tc>
          <w:tcPr>
            <w:tcW w:w="5503" w:type="dxa"/>
            <w:tcMar>
              <w:top w:w="0" w:type="dxa"/>
              <w:left w:w="150" w:type="dxa"/>
              <w:bottom w:w="0" w:type="dxa"/>
              <w:right w:w="0" w:type="dxa"/>
            </w:tcMar>
            <w:vAlign w:val="center"/>
          </w:tcPr>
          <w:p w14:paraId="69A1950D">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《中华人民共和国药品管理法》第十八条；《中华人民共和国药品管理法实施条例》第二十八条；《药物非临床研究质量管理规范》第七条（八）、第九条。</w:t>
            </w:r>
          </w:p>
        </w:tc>
      </w:tr>
      <w:tr w14:paraId="7E02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42" w:type="dxa"/>
            <w:vMerge w:val="restart"/>
            <w:vAlign w:val="center"/>
          </w:tcPr>
          <w:p w14:paraId="2DF9B83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质量</w:t>
            </w:r>
          </w:p>
          <w:p w14:paraId="6B08F6F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管理</w:t>
            </w:r>
          </w:p>
        </w:tc>
        <w:tc>
          <w:tcPr>
            <w:tcW w:w="742" w:type="dxa"/>
            <w:vAlign w:val="center"/>
          </w:tcPr>
          <w:p w14:paraId="5660EF8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14</w:t>
            </w:r>
          </w:p>
        </w:tc>
        <w:tc>
          <w:tcPr>
            <w:tcW w:w="8497" w:type="dxa"/>
            <w:tcMar>
              <w:top w:w="0" w:type="dxa"/>
              <w:left w:w="150" w:type="dxa"/>
              <w:bottom w:w="0" w:type="dxa"/>
              <w:right w:w="0" w:type="dxa"/>
            </w:tcMar>
            <w:vAlign w:val="center"/>
          </w:tcPr>
          <w:p w14:paraId="25E798EF">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研究机构应当设立独立的质量保证部门负责检查本规范的执行情况，以保证研究的运行管理符合本规范要求。</w:t>
            </w:r>
          </w:p>
          <w:p w14:paraId="42F9580F">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研究机构应当确保质量保证工作的独立性。</w:t>
            </w:r>
          </w:p>
        </w:tc>
        <w:tc>
          <w:tcPr>
            <w:tcW w:w="5503" w:type="dxa"/>
            <w:tcMar>
              <w:top w:w="0" w:type="dxa"/>
              <w:left w:w="150" w:type="dxa"/>
              <w:bottom w:w="0" w:type="dxa"/>
              <w:right w:w="0" w:type="dxa"/>
            </w:tcMar>
            <w:vAlign w:val="center"/>
          </w:tcPr>
          <w:p w14:paraId="3833C45C">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《中华人民共和国药品管理法》第十八条；《中华人民共和国药品管理法实施条例》第二十八条；《药物非临床研究质量管理规范》第八条、第三十五条。</w:t>
            </w:r>
          </w:p>
        </w:tc>
      </w:tr>
      <w:tr w14:paraId="7515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atLeast"/>
          <w:jc w:val="center"/>
        </w:trPr>
        <w:tc>
          <w:tcPr>
            <w:tcW w:w="742" w:type="dxa"/>
            <w:vMerge w:val="continue"/>
            <w:vAlign w:val="center"/>
          </w:tcPr>
          <w:p w14:paraId="6E08BEF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503F4E7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15</w:t>
            </w:r>
          </w:p>
        </w:tc>
        <w:tc>
          <w:tcPr>
            <w:tcW w:w="8497" w:type="dxa"/>
            <w:tcMar>
              <w:top w:w="0" w:type="dxa"/>
              <w:left w:w="150" w:type="dxa"/>
              <w:bottom w:w="0" w:type="dxa"/>
              <w:right w:w="0" w:type="dxa"/>
            </w:tcMar>
            <w:vAlign w:val="center"/>
          </w:tcPr>
          <w:p w14:paraId="6406AA56">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质量保证部门应当制定书面的质量保证计划，并指定执行人员，以确保研究机构的研究工作符合本规范的要求。质量保证部门应当对质量保证活动制定相应的标准操作规程。</w:t>
            </w:r>
          </w:p>
        </w:tc>
        <w:tc>
          <w:tcPr>
            <w:tcW w:w="5503" w:type="dxa"/>
            <w:tcMar>
              <w:top w:w="0" w:type="dxa"/>
              <w:left w:w="150" w:type="dxa"/>
              <w:bottom w:w="0" w:type="dxa"/>
              <w:right w:w="0" w:type="dxa"/>
            </w:tcMar>
            <w:vAlign w:val="center"/>
          </w:tcPr>
          <w:p w14:paraId="6FBBD09E">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《中华人民共和国药品管理法》第十八条；《中华人民共和国药品管理法实施条例》第二十八条；《药物非临床研究质量管理规范》第三十六条、第三十七条、第三十八条。</w:t>
            </w:r>
          </w:p>
        </w:tc>
      </w:tr>
      <w:tr w14:paraId="1676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jc w:val="center"/>
        </w:trPr>
        <w:tc>
          <w:tcPr>
            <w:tcW w:w="742" w:type="dxa"/>
            <w:vMerge w:val="continue"/>
            <w:vAlign w:val="center"/>
          </w:tcPr>
          <w:p w14:paraId="5AC6746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3C88C96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16</w:t>
            </w:r>
          </w:p>
        </w:tc>
        <w:tc>
          <w:tcPr>
            <w:tcW w:w="8497" w:type="dxa"/>
            <w:tcMar>
              <w:top w:w="0" w:type="dxa"/>
              <w:left w:w="150" w:type="dxa"/>
              <w:bottom w:w="0" w:type="dxa"/>
              <w:right w:w="0" w:type="dxa"/>
            </w:tcMar>
            <w:vAlign w:val="center"/>
          </w:tcPr>
          <w:p w14:paraId="4554036C">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质量保证部门应当对所有遵照本规范实施的研究项目进行审核并出具质量保证声明。</w:t>
            </w:r>
          </w:p>
        </w:tc>
        <w:tc>
          <w:tcPr>
            <w:tcW w:w="5503" w:type="dxa"/>
            <w:tcMar>
              <w:top w:w="0" w:type="dxa"/>
              <w:left w:w="150" w:type="dxa"/>
              <w:bottom w:w="0" w:type="dxa"/>
              <w:right w:w="0" w:type="dxa"/>
            </w:tcMar>
            <w:vAlign w:val="center"/>
          </w:tcPr>
          <w:p w14:paraId="2507A10C">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《中华人民共和国药品管理法》第十八条；《中华人民共和国药品管理法实施条例》第二十八条；《药物非临床研究质量管理规范》第三十九条、第四十条。</w:t>
            </w:r>
          </w:p>
        </w:tc>
      </w:tr>
      <w:tr w14:paraId="626B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1" w:hRule="atLeast"/>
          <w:jc w:val="center"/>
        </w:trPr>
        <w:tc>
          <w:tcPr>
            <w:tcW w:w="742" w:type="dxa"/>
            <w:vMerge w:val="continue"/>
            <w:vAlign w:val="center"/>
          </w:tcPr>
          <w:p w14:paraId="5E5481D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3B785AB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17</w:t>
            </w:r>
          </w:p>
        </w:tc>
        <w:tc>
          <w:tcPr>
            <w:tcW w:w="8497" w:type="dxa"/>
            <w:tcMar>
              <w:top w:w="0" w:type="dxa"/>
              <w:left w:w="150" w:type="dxa"/>
              <w:bottom w:w="0" w:type="dxa"/>
              <w:right w:w="0" w:type="dxa"/>
            </w:tcMar>
            <w:vAlign w:val="center"/>
          </w:tcPr>
          <w:p w14:paraId="24FFB449">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质量保证人员应以书面形式及时向机构负责人或者专题负责人报告检查结果，对于多场所研究，分研究场所的质量保证人员需将检查结果报告给其研究机构内的主要研究者和机构负责人，以及主研究场所的机构负责人、专题负责人和质量保证人员。</w:t>
            </w:r>
          </w:p>
        </w:tc>
        <w:tc>
          <w:tcPr>
            <w:tcW w:w="5503" w:type="dxa"/>
            <w:tcMar>
              <w:top w:w="0" w:type="dxa"/>
              <w:left w:w="150" w:type="dxa"/>
              <w:bottom w:w="0" w:type="dxa"/>
              <w:right w:w="0" w:type="dxa"/>
            </w:tcMar>
            <w:vAlign w:val="center"/>
          </w:tcPr>
          <w:p w14:paraId="1CDC9D50">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w:t>
            </w:r>
            <w:r>
              <w:rPr>
                <w:rFonts w:hint="eastAsia" w:ascii="方正仿宋_GBK" w:hAnsi="方正仿宋_GBK" w:eastAsia="方正仿宋_GBK" w:cs="方正仿宋_GBK"/>
                <w:spacing w:val="-6"/>
                <w:sz w:val="18"/>
                <w:szCs w:val="18"/>
              </w:rPr>
              <w:t>条；《药物非临床研究质量管理规范》第八条（六）。</w:t>
            </w:r>
          </w:p>
        </w:tc>
      </w:tr>
      <w:tr w14:paraId="033E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5" w:hRule="atLeast"/>
          <w:jc w:val="center"/>
        </w:trPr>
        <w:tc>
          <w:tcPr>
            <w:tcW w:w="742" w:type="dxa"/>
            <w:vMerge w:val="restart"/>
            <w:vAlign w:val="center"/>
          </w:tcPr>
          <w:p w14:paraId="32C260F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设施</w:t>
            </w:r>
          </w:p>
          <w:p w14:paraId="7E4FA15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设备</w:t>
            </w:r>
          </w:p>
          <w:p w14:paraId="04F2B10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管理</w:t>
            </w:r>
          </w:p>
        </w:tc>
        <w:tc>
          <w:tcPr>
            <w:tcW w:w="742" w:type="dxa"/>
            <w:vAlign w:val="center"/>
          </w:tcPr>
          <w:p w14:paraId="320BAA4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18</w:t>
            </w:r>
          </w:p>
        </w:tc>
        <w:tc>
          <w:tcPr>
            <w:tcW w:w="8497" w:type="dxa"/>
            <w:tcMar>
              <w:top w:w="0" w:type="dxa"/>
              <w:left w:w="150" w:type="dxa"/>
              <w:bottom w:w="0" w:type="dxa"/>
              <w:right w:w="0" w:type="dxa"/>
            </w:tcMar>
            <w:vAlign w:val="center"/>
          </w:tcPr>
          <w:p w14:paraId="00B0268F">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研究机构应当根据所从事的非临床安全性评价研究的需要建立相应的设施，并确保设施的环境条件满足工作的需要。各种设施应当布局合理、运转正常，并具有必要的功能划分和区隔，有效地避免可能对研究造成的干扰。</w:t>
            </w:r>
          </w:p>
        </w:tc>
        <w:tc>
          <w:tcPr>
            <w:tcW w:w="5503" w:type="dxa"/>
            <w:tcMar>
              <w:top w:w="0" w:type="dxa"/>
              <w:left w:w="150" w:type="dxa"/>
              <w:bottom w:w="0" w:type="dxa"/>
              <w:right w:w="0" w:type="dxa"/>
            </w:tcMar>
            <w:vAlign w:val="center"/>
          </w:tcPr>
          <w:p w14:paraId="5C4893BB">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《中华人民共和国药品管理法》第十八条；《中华人民共和国药品管理法实施条例》第二十八条；《药物非临床研究质量管理规范》第十条。</w:t>
            </w:r>
          </w:p>
        </w:tc>
      </w:tr>
      <w:tr w14:paraId="3413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3" w:hRule="atLeast"/>
          <w:jc w:val="center"/>
        </w:trPr>
        <w:tc>
          <w:tcPr>
            <w:tcW w:w="742" w:type="dxa"/>
            <w:vMerge w:val="continue"/>
            <w:vAlign w:val="center"/>
          </w:tcPr>
          <w:p w14:paraId="358F42A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30E996D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19</w:t>
            </w:r>
          </w:p>
        </w:tc>
        <w:tc>
          <w:tcPr>
            <w:tcW w:w="8497" w:type="dxa"/>
            <w:tcMar>
              <w:top w:w="0" w:type="dxa"/>
              <w:left w:w="150" w:type="dxa"/>
              <w:bottom w:w="0" w:type="dxa"/>
              <w:right w:w="0" w:type="dxa"/>
            </w:tcMar>
            <w:vAlign w:val="center"/>
          </w:tcPr>
          <w:p w14:paraId="0B05AE22">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动物设施的条件应当与所使用的实验动物级别相符，其布局应当合理，避免实验系统、受试物、废弃物等之间发生相互污染。</w:t>
            </w:r>
          </w:p>
        </w:tc>
        <w:tc>
          <w:tcPr>
            <w:tcW w:w="5503" w:type="dxa"/>
            <w:tcMar>
              <w:top w:w="0" w:type="dxa"/>
              <w:left w:w="150" w:type="dxa"/>
              <w:bottom w:w="0" w:type="dxa"/>
              <w:right w:w="0" w:type="dxa"/>
            </w:tcMar>
            <w:vAlign w:val="center"/>
          </w:tcPr>
          <w:p w14:paraId="461F20F1">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《中华人民共和国药品管理法》第十八条；《中华人民共和国药品管理法实施条例》第二十八条；《药物非临床研究质量管理规范》第十一条。</w:t>
            </w:r>
          </w:p>
        </w:tc>
      </w:tr>
      <w:tr w14:paraId="3309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24" w:hRule="atLeast"/>
          <w:jc w:val="center"/>
        </w:trPr>
        <w:tc>
          <w:tcPr>
            <w:tcW w:w="742" w:type="dxa"/>
            <w:vMerge w:val="restart"/>
            <w:vAlign w:val="center"/>
          </w:tcPr>
          <w:p w14:paraId="3D548A2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设施</w:t>
            </w:r>
          </w:p>
          <w:p w14:paraId="020A96B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设备</w:t>
            </w:r>
          </w:p>
          <w:p w14:paraId="29F4D4F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管理</w:t>
            </w:r>
          </w:p>
        </w:tc>
        <w:tc>
          <w:tcPr>
            <w:tcW w:w="742" w:type="dxa"/>
            <w:vAlign w:val="center"/>
          </w:tcPr>
          <w:p w14:paraId="2F08FC1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20</w:t>
            </w:r>
          </w:p>
        </w:tc>
        <w:tc>
          <w:tcPr>
            <w:tcW w:w="8497" w:type="dxa"/>
            <w:tcMar>
              <w:top w:w="0" w:type="dxa"/>
              <w:left w:w="150" w:type="dxa"/>
              <w:bottom w:w="0" w:type="dxa"/>
              <w:right w:w="0" w:type="dxa"/>
            </w:tcMar>
            <w:vAlign w:val="center"/>
          </w:tcPr>
          <w:p w14:paraId="6E91AF57">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档案保管的设施应防止未经授权批准的人员接触档案；计算机化的档案设施具备阻止未经授权访问和病毒防护等安全措施；根据档案贮藏条件的需要配备必要的设备，有效地控制火、水、虫、鼠、电力中断等危害因素；对于有特定环境条件调控要求的档案保管设施，进行充分的监测。</w:t>
            </w:r>
          </w:p>
        </w:tc>
        <w:tc>
          <w:tcPr>
            <w:tcW w:w="5503" w:type="dxa"/>
            <w:tcMar>
              <w:top w:w="0" w:type="dxa"/>
              <w:left w:w="150" w:type="dxa"/>
              <w:bottom w:w="0" w:type="dxa"/>
              <w:right w:w="0" w:type="dxa"/>
            </w:tcMar>
            <w:vAlign w:val="center"/>
          </w:tcPr>
          <w:p w14:paraId="73858322">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《中华人民共和国药品管理法》第十八条；《中华人民共和国药品管理法实施条例》第二十八条；《药物非临床研究质量管理规范》第十三条。</w:t>
            </w:r>
          </w:p>
        </w:tc>
      </w:tr>
      <w:tr w14:paraId="25B2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44" w:hRule="atLeast"/>
          <w:jc w:val="center"/>
        </w:trPr>
        <w:tc>
          <w:tcPr>
            <w:tcW w:w="742" w:type="dxa"/>
            <w:vMerge w:val="continue"/>
            <w:vAlign w:val="center"/>
          </w:tcPr>
          <w:p w14:paraId="5484F1E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07CB129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21</w:t>
            </w:r>
          </w:p>
        </w:tc>
        <w:tc>
          <w:tcPr>
            <w:tcW w:w="8497" w:type="dxa"/>
            <w:tcMar>
              <w:top w:w="0" w:type="dxa"/>
              <w:left w:w="150" w:type="dxa"/>
              <w:bottom w:w="0" w:type="dxa"/>
              <w:right w:w="0" w:type="dxa"/>
            </w:tcMar>
            <w:vAlign w:val="center"/>
          </w:tcPr>
          <w:p w14:paraId="33AA824C">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研究机构应当根据研究工作的需要配备相应的仪器设备，其性能应当满足使用目的，放置地点合理，并定期进行清洁、保养、测试、校准、确认或者验证等，以确保其性能符合要求。对于仪器设备，应当有标准操作规程详细说明各仪器设备的使用与管理要求，对仪器设备的使用、清洁、保养、测试、校准、确认或者验证以及维修等应当予以详细记录并归档保存。</w:t>
            </w:r>
          </w:p>
        </w:tc>
        <w:tc>
          <w:tcPr>
            <w:tcW w:w="5503" w:type="dxa"/>
            <w:tcMar>
              <w:top w:w="0" w:type="dxa"/>
              <w:left w:w="150" w:type="dxa"/>
              <w:bottom w:w="0" w:type="dxa"/>
              <w:right w:w="0" w:type="dxa"/>
            </w:tcMar>
            <w:vAlign w:val="center"/>
          </w:tcPr>
          <w:p w14:paraId="19D6FD59">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《中华人民共和国药品管理法》第十八条；《中华人民共和国药品管理法实施条例》第二十八条；《药物非临床研究质量管理规范》第十五条、第十七条。</w:t>
            </w:r>
          </w:p>
        </w:tc>
      </w:tr>
      <w:tr w14:paraId="38F4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6" w:hRule="atLeast"/>
          <w:jc w:val="center"/>
        </w:trPr>
        <w:tc>
          <w:tcPr>
            <w:tcW w:w="742" w:type="dxa"/>
            <w:vMerge w:val="restart"/>
            <w:vAlign w:val="center"/>
          </w:tcPr>
          <w:p w14:paraId="10E7D1E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实验</w:t>
            </w:r>
          </w:p>
          <w:p w14:paraId="738BC48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动物</w:t>
            </w:r>
          </w:p>
          <w:p w14:paraId="733CC32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管理</w:t>
            </w:r>
          </w:p>
        </w:tc>
        <w:tc>
          <w:tcPr>
            <w:tcW w:w="742" w:type="dxa"/>
            <w:vAlign w:val="center"/>
          </w:tcPr>
          <w:p w14:paraId="585A2C5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22</w:t>
            </w:r>
          </w:p>
        </w:tc>
        <w:tc>
          <w:tcPr>
            <w:tcW w:w="8497" w:type="dxa"/>
            <w:tcMar>
              <w:top w:w="0" w:type="dxa"/>
              <w:left w:w="150" w:type="dxa"/>
              <w:bottom w:w="0" w:type="dxa"/>
              <w:right w:w="0" w:type="dxa"/>
            </w:tcMar>
            <w:vAlign w:val="center"/>
          </w:tcPr>
          <w:p w14:paraId="757DDE9F">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实验动物的使用应当关注动物福利，遵循“减少、替代和优化”的原则，试验方案实施前应当获得动物伦理委员会批准。</w:t>
            </w:r>
          </w:p>
        </w:tc>
        <w:tc>
          <w:tcPr>
            <w:tcW w:w="5503" w:type="dxa"/>
            <w:tcMar>
              <w:top w:w="0" w:type="dxa"/>
              <w:left w:w="150" w:type="dxa"/>
              <w:bottom w:w="0" w:type="dxa"/>
              <w:right w:w="0" w:type="dxa"/>
            </w:tcMar>
            <w:vAlign w:val="center"/>
          </w:tcPr>
          <w:p w14:paraId="5D7ECB52">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《中华人民共和国药品管理法》第十八条；《中华人民共和国药品管理法实施条例》第二十八条；《药物非临床研究质量管理规范》第二十条（一）（二）。</w:t>
            </w:r>
          </w:p>
        </w:tc>
      </w:tr>
      <w:tr w14:paraId="4228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17" w:hRule="atLeast"/>
          <w:jc w:val="center"/>
        </w:trPr>
        <w:tc>
          <w:tcPr>
            <w:tcW w:w="742" w:type="dxa"/>
            <w:vMerge w:val="continue"/>
            <w:vAlign w:val="center"/>
          </w:tcPr>
          <w:p w14:paraId="3D5B0A1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75DB5E8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23</w:t>
            </w:r>
          </w:p>
        </w:tc>
        <w:tc>
          <w:tcPr>
            <w:tcW w:w="8497" w:type="dxa"/>
            <w:tcMar>
              <w:top w:w="0" w:type="dxa"/>
              <w:left w:w="150" w:type="dxa"/>
              <w:bottom w:w="0" w:type="dxa"/>
              <w:right w:w="0" w:type="dxa"/>
            </w:tcMar>
            <w:vAlign w:val="center"/>
          </w:tcPr>
          <w:p w14:paraId="3AD96739">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实验动物应当有合适的个体识别标识，以避免实验动物的不同个体在移出或者移入时发生混淆。实验动物所处的环境及相关用具应当定期清洁、消毒以保持卫生。动物饲养室内使用的清洁剂、消毒剂及杀虫剂等，不得影响试验结果，并应当详细记录其名称、浓度、使用方法及使用的时间等。实验动物的饲料、垫料和饮水应当定期检验，确保其符合营养或者污染控制标准，其检验结果应当作为原始数据归档保存。</w:t>
            </w:r>
          </w:p>
        </w:tc>
        <w:tc>
          <w:tcPr>
            <w:tcW w:w="5503" w:type="dxa"/>
            <w:tcMar>
              <w:top w:w="0" w:type="dxa"/>
              <w:left w:w="150" w:type="dxa"/>
              <w:bottom w:w="0" w:type="dxa"/>
              <w:right w:w="0" w:type="dxa"/>
            </w:tcMar>
            <w:vAlign w:val="center"/>
          </w:tcPr>
          <w:p w14:paraId="0531648E">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《中华人民共和国药品管理法》第十八条；《中华人民共和国药品管理法实施条例》第二十八条；《药物非临床研究质量管理规范》第二十条（四）（五）（六）。</w:t>
            </w:r>
          </w:p>
        </w:tc>
      </w:tr>
      <w:tr w14:paraId="3E12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7" w:hRule="atLeast"/>
          <w:jc w:val="center"/>
        </w:trPr>
        <w:tc>
          <w:tcPr>
            <w:tcW w:w="742" w:type="dxa"/>
            <w:vMerge w:val="restart"/>
            <w:vAlign w:val="center"/>
          </w:tcPr>
          <w:p w14:paraId="04EA80B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受试</w:t>
            </w:r>
          </w:p>
          <w:p w14:paraId="1C2CB7C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物和</w:t>
            </w:r>
          </w:p>
          <w:p w14:paraId="3CCC8F4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对照</w:t>
            </w:r>
          </w:p>
          <w:p w14:paraId="41B333F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品管</w:t>
            </w:r>
          </w:p>
          <w:p w14:paraId="71D4CCB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理</w:t>
            </w:r>
          </w:p>
        </w:tc>
        <w:tc>
          <w:tcPr>
            <w:tcW w:w="742" w:type="dxa"/>
            <w:vAlign w:val="center"/>
          </w:tcPr>
          <w:p w14:paraId="254A962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24</w:t>
            </w:r>
          </w:p>
        </w:tc>
        <w:tc>
          <w:tcPr>
            <w:tcW w:w="8497" w:type="dxa"/>
            <w:tcMar>
              <w:top w:w="0" w:type="dxa"/>
              <w:left w:w="150" w:type="dxa"/>
              <w:bottom w:w="0" w:type="dxa"/>
              <w:right w:w="0" w:type="dxa"/>
            </w:tcMar>
            <w:vAlign w:val="center"/>
          </w:tcPr>
          <w:p w14:paraId="4968D6AE">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具备受试物和对照品的接收、保管、配制及配制后制剂保管的独立房间或者区域，并采取必要的隔离措施，以避免受试物和对照品发生交叉污染或者相互混淆，相关的设施应当满足不同受试物、对照品对于贮藏温度、湿度、光照等环境条件的要求，以确保受试物和对照品在有效期内保持稳定。</w:t>
            </w:r>
          </w:p>
        </w:tc>
        <w:tc>
          <w:tcPr>
            <w:tcW w:w="5503" w:type="dxa"/>
            <w:tcMar>
              <w:top w:w="0" w:type="dxa"/>
              <w:left w:w="150" w:type="dxa"/>
              <w:bottom w:w="0" w:type="dxa"/>
              <w:right w:w="0" w:type="dxa"/>
            </w:tcMar>
            <w:vAlign w:val="center"/>
          </w:tcPr>
          <w:p w14:paraId="5C865704">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《中华人民共和国药品管理法》第十八条；《中华人民共和国药品管理法实施条例》第二十八条；《药物非临床研究质量管理规范》第十二条。</w:t>
            </w:r>
          </w:p>
        </w:tc>
      </w:tr>
      <w:tr w14:paraId="20F6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42" w:type="dxa"/>
            <w:vMerge w:val="continue"/>
            <w:vAlign w:val="center"/>
          </w:tcPr>
          <w:p w14:paraId="23F3CE0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7BFAD25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25</w:t>
            </w:r>
          </w:p>
        </w:tc>
        <w:tc>
          <w:tcPr>
            <w:tcW w:w="8497" w:type="dxa"/>
            <w:tcMar>
              <w:top w:w="0" w:type="dxa"/>
              <w:left w:w="150" w:type="dxa"/>
              <w:bottom w:w="0" w:type="dxa"/>
              <w:right w:w="0" w:type="dxa"/>
            </w:tcMar>
            <w:vAlign w:val="center"/>
          </w:tcPr>
          <w:p w14:paraId="66B28943">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受试物和对照品应当有专人保管，有完善的接收、登记和分发的手续和记录，标识标签应符合相应规定。</w:t>
            </w:r>
          </w:p>
        </w:tc>
        <w:tc>
          <w:tcPr>
            <w:tcW w:w="5503" w:type="dxa"/>
            <w:tcMar>
              <w:top w:w="0" w:type="dxa"/>
              <w:left w:w="150" w:type="dxa"/>
              <w:bottom w:w="0" w:type="dxa"/>
              <w:right w:w="0" w:type="dxa"/>
            </w:tcMar>
            <w:vAlign w:val="center"/>
          </w:tcPr>
          <w:p w14:paraId="468A3DB4">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《中华人民共和国药品管理法》第十八条；《中华人民共和国药品管理法实施条例》第二十八条；《药物非临床研究质量管理规范》第十八条。</w:t>
            </w:r>
          </w:p>
        </w:tc>
      </w:tr>
      <w:tr w14:paraId="107B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1" w:hRule="atLeast"/>
          <w:jc w:val="center"/>
        </w:trPr>
        <w:tc>
          <w:tcPr>
            <w:tcW w:w="742" w:type="dxa"/>
            <w:vMerge w:val="restart"/>
            <w:vAlign w:val="center"/>
          </w:tcPr>
          <w:p w14:paraId="7A76579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文件</w:t>
            </w:r>
          </w:p>
          <w:p w14:paraId="3B75372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管理</w:t>
            </w:r>
          </w:p>
        </w:tc>
        <w:tc>
          <w:tcPr>
            <w:tcW w:w="742" w:type="dxa"/>
            <w:vAlign w:val="center"/>
          </w:tcPr>
          <w:p w14:paraId="67829DD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26</w:t>
            </w:r>
          </w:p>
        </w:tc>
        <w:tc>
          <w:tcPr>
            <w:tcW w:w="8497" w:type="dxa"/>
            <w:tcMar>
              <w:top w:w="0" w:type="dxa"/>
              <w:left w:w="150" w:type="dxa"/>
              <w:bottom w:w="0" w:type="dxa"/>
              <w:right w:w="0" w:type="dxa"/>
            </w:tcMar>
            <w:vAlign w:val="center"/>
          </w:tcPr>
          <w:p w14:paraId="3A98D084">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研究机构应当制定与其业务相适应的标准操作规程，以确保数据的可靠性。公开出版的教科书、文献、生产商制定的用户手册等技术资料可以作为标准操作规程的补充说明加以使用。</w:t>
            </w:r>
          </w:p>
        </w:tc>
        <w:tc>
          <w:tcPr>
            <w:tcW w:w="5503" w:type="dxa"/>
            <w:tcMar>
              <w:top w:w="0" w:type="dxa"/>
              <w:left w:w="150" w:type="dxa"/>
              <w:bottom w:w="0" w:type="dxa"/>
              <w:right w:w="0" w:type="dxa"/>
            </w:tcMar>
            <w:vAlign w:val="center"/>
          </w:tcPr>
          <w:p w14:paraId="3CA6E475">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《中华人民共和国药品管理法》第十八条；《中华人民共和国药品管理法实施条例》第二十八条；《药物非临床研究质量管理规范》第二十二条、第二十三条。</w:t>
            </w:r>
          </w:p>
        </w:tc>
      </w:tr>
      <w:tr w14:paraId="22AA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3" w:hRule="atLeast"/>
          <w:jc w:val="center"/>
        </w:trPr>
        <w:tc>
          <w:tcPr>
            <w:tcW w:w="742" w:type="dxa"/>
            <w:vMerge w:val="continue"/>
            <w:vAlign w:val="center"/>
          </w:tcPr>
          <w:p w14:paraId="404351E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4597A59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27</w:t>
            </w:r>
          </w:p>
        </w:tc>
        <w:tc>
          <w:tcPr>
            <w:tcW w:w="8497" w:type="dxa"/>
            <w:tcMar>
              <w:top w:w="0" w:type="dxa"/>
              <w:left w:w="150" w:type="dxa"/>
              <w:bottom w:w="0" w:type="dxa"/>
              <w:right w:w="0" w:type="dxa"/>
            </w:tcMar>
            <w:vAlign w:val="center"/>
          </w:tcPr>
          <w:p w14:paraId="7348E08E">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标准操作规程的制定、修订、批准、生效的日期及分发、销毁的情况均应当予以记录并归档保存。标准操作规程的分发和存放应当确保工作人员使用方便。</w:t>
            </w:r>
          </w:p>
        </w:tc>
        <w:tc>
          <w:tcPr>
            <w:tcW w:w="5503" w:type="dxa"/>
            <w:tcMar>
              <w:top w:w="0" w:type="dxa"/>
              <w:left w:w="150" w:type="dxa"/>
              <w:bottom w:w="0" w:type="dxa"/>
              <w:right w:w="0" w:type="dxa"/>
            </w:tcMar>
            <w:vAlign w:val="center"/>
          </w:tcPr>
          <w:p w14:paraId="2FE928A4">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《中华人民共和国药品管理法》第十八条；《中华人民共和国药品管理法实施条例》第二十八条；《药物非临床研究质量管理规范》第二十四条、第二十五条。</w:t>
            </w:r>
          </w:p>
        </w:tc>
      </w:tr>
      <w:tr w14:paraId="1705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742" w:type="dxa"/>
            <w:vMerge w:val="continue"/>
            <w:vAlign w:val="center"/>
          </w:tcPr>
          <w:p w14:paraId="173746B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541A83F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28</w:t>
            </w:r>
          </w:p>
        </w:tc>
        <w:tc>
          <w:tcPr>
            <w:tcW w:w="8497" w:type="dxa"/>
            <w:tcMar>
              <w:top w:w="0" w:type="dxa"/>
              <w:left w:w="150" w:type="dxa"/>
              <w:bottom w:w="0" w:type="dxa"/>
              <w:right w:w="0" w:type="dxa"/>
            </w:tcMar>
            <w:vAlign w:val="center"/>
          </w:tcPr>
          <w:p w14:paraId="0907B9DF">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专题负责人应当确保研究所有的资料在研究实施过程中或者研究完成后及时归档，最长不超过2周，按标准操作规程的要求整理后，作为研究档案予以保存。</w:t>
            </w:r>
          </w:p>
          <w:p w14:paraId="07A78876">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其他不属于研究档案范畴的资料均应当定期归档保存。</w:t>
            </w:r>
          </w:p>
        </w:tc>
        <w:tc>
          <w:tcPr>
            <w:tcW w:w="5503" w:type="dxa"/>
            <w:tcMar>
              <w:top w:w="0" w:type="dxa"/>
              <w:left w:w="150" w:type="dxa"/>
              <w:bottom w:w="0" w:type="dxa"/>
              <w:right w:w="0" w:type="dxa"/>
            </w:tcMar>
            <w:vAlign w:val="center"/>
          </w:tcPr>
          <w:p w14:paraId="305FB91A">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《中华人民共和国药品管理法》第十八条；《中华人民共和国药品管理法实施条例》第二十八条；《药物非临床研究质量管理规范》第四十一条、第四十三条。</w:t>
            </w:r>
          </w:p>
        </w:tc>
      </w:tr>
      <w:tr w14:paraId="27E4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1" w:hRule="atLeast"/>
          <w:jc w:val="center"/>
        </w:trPr>
        <w:tc>
          <w:tcPr>
            <w:tcW w:w="742" w:type="dxa"/>
            <w:vMerge w:val="continue"/>
            <w:vAlign w:val="center"/>
          </w:tcPr>
          <w:p w14:paraId="2ADA36F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69A7B40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29</w:t>
            </w:r>
          </w:p>
        </w:tc>
        <w:tc>
          <w:tcPr>
            <w:tcW w:w="8497" w:type="dxa"/>
            <w:tcMar>
              <w:top w:w="0" w:type="dxa"/>
              <w:left w:w="150" w:type="dxa"/>
              <w:bottom w:w="0" w:type="dxa"/>
              <w:right w:w="0" w:type="dxa"/>
            </w:tcMar>
            <w:vAlign w:val="center"/>
          </w:tcPr>
          <w:p w14:paraId="644B80A0">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用于注册申报材料的研究，其档案保存期应当在药物上市后至少5年；未用于注册申报材料的研究（如终止的研究），其档案保存期为总结报告批准日后至少5年；其他不属于研究档案范畴的资料应当在其生成后保存至少10年。</w:t>
            </w:r>
          </w:p>
        </w:tc>
        <w:tc>
          <w:tcPr>
            <w:tcW w:w="5503" w:type="dxa"/>
            <w:tcMar>
              <w:top w:w="0" w:type="dxa"/>
              <w:left w:w="150" w:type="dxa"/>
              <w:bottom w:w="0" w:type="dxa"/>
              <w:right w:w="0" w:type="dxa"/>
            </w:tcMar>
            <w:vAlign w:val="center"/>
          </w:tcPr>
          <w:p w14:paraId="41B7DC32">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《中华人民共和国药品管理法》第十八条；《中华人民共和国药品管理法实施条例》第二十八条；《药物非临床研究质量管理规范》第四十五条。</w:t>
            </w:r>
          </w:p>
        </w:tc>
      </w:tr>
      <w:tr w14:paraId="5395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83" w:hRule="atLeast"/>
          <w:jc w:val="center"/>
        </w:trPr>
        <w:tc>
          <w:tcPr>
            <w:tcW w:w="742" w:type="dxa"/>
            <w:vMerge w:val="restart"/>
            <w:vAlign w:val="center"/>
          </w:tcPr>
          <w:p w14:paraId="57A7645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研究</w:t>
            </w:r>
          </w:p>
          <w:p w14:paraId="33A79C9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工作</w:t>
            </w:r>
          </w:p>
          <w:p w14:paraId="2B35E13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的实</w:t>
            </w:r>
          </w:p>
          <w:p w14:paraId="09A2E70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施</w:t>
            </w:r>
          </w:p>
        </w:tc>
        <w:tc>
          <w:tcPr>
            <w:tcW w:w="742" w:type="dxa"/>
            <w:vAlign w:val="center"/>
          </w:tcPr>
          <w:p w14:paraId="29EB3FA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30</w:t>
            </w:r>
          </w:p>
        </w:tc>
        <w:tc>
          <w:tcPr>
            <w:tcW w:w="8497" w:type="dxa"/>
            <w:tcMar>
              <w:top w:w="0" w:type="dxa"/>
              <w:left w:w="150" w:type="dxa"/>
              <w:bottom w:w="0" w:type="dxa"/>
              <w:right w:w="0" w:type="dxa"/>
            </w:tcMar>
            <w:vAlign w:val="center"/>
          </w:tcPr>
          <w:p w14:paraId="47B02F79">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项研究开始前，均应当起草一份试验方案，由质量保证部门对其符合本规范要求的情况进行审查并经专题负责人批准之后方可生效，专题负责人批准的日期作为研究的开始日期。接受委托的研究，试验方案应当经委托方认可。需要修改试验方案时应当进行试验方案变更，并经质量保证部门审查，专题负责人批准。试验方案变更应当包含变更的内容、理由及日期，并与原试验方案一起保存。研究被取消或者终止时，试验方案变更应当说明取消或者终止的原因和终止的方法。</w:t>
            </w:r>
          </w:p>
        </w:tc>
        <w:tc>
          <w:tcPr>
            <w:tcW w:w="5503" w:type="dxa"/>
            <w:tcMar>
              <w:top w:w="0" w:type="dxa"/>
              <w:left w:w="150" w:type="dxa"/>
              <w:bottom w:w="0" w:type="dxa"/>
              <w:right w:w="0" w:type="dxa"/>
            </w:tcMar>
            <w:vAlign w:val="center"/>
          </w:tcPr>
          <w:p w14:paraId="775D67BC">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《中华人民共和国药品管理法》第十八条；《中华人民共和国药品管理法实施条例》第二十八条；《药物非临床研究质量管理规范》第二十七条、第二十八条。</w:t>
            </w:r>
          </w:p>
        </w:tc>
      </w:tr>
      <w:tr w14:paraId="7EC1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74" w:hRule="atLeast"/>
          <w:jc w:val="center"/>
        </w:trPr>
        <w:tc>
          <w:tcPr>
            <w:tcW w:w="742" w:type="dxa"/>
            <w:vMerge w:val="continue"/>
            <w:vAlign w:val="center"/>
          </w:tcPr>
          <w:p w14:paraId="55D792A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3B9DA26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31</w:t>
            </w:r>
          </w:p>
        </w:tc>
        <w:tc>
          <w:tcPr>
            <w:tcW w:w="8497" w:type="dxa"/>
            <w:tcMar>
              <w:top w:w="0" w:type="dxa"/>
              <w:left w:w="150" w:type="dxa"/>
              <w:bottom w:w="0" w:type="dxa"/>
              <w:right w:w="0" w:type="dxa"/>
            </w:tcMar>
            <w:vAlign w:val="center"/>
          </w:tcPr>
          <w:p w14:paraId="208E0CA7">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参加研究的工作人员应当严格执行试验方案和相应的标准操作规程，记录试验产生的所有数据，并做到及时、直接、准确、清楚和不易消除，同时需注明记录日期、记录者签名。记录的数据需要修改时，应当保持原记录清楚可辨，并注明修改的理由及修改日期、修改者签名。电子数据的生成、修改应当符合以上要求。</w:t>
            </w:r>
          </w:p>
          <w:p w14:paraId="29DD2521">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研究过程中发生的任何偏离试验方案和标准操作规程的情况，都应当及时记录并报告给专题负责人，在多场所研究的情况下还应当报告给负责相关试验的主要研究者。专题负责人或者主要研究者应当评估对研究数据的可靠性造成的影响，必要时采取纠正措施。</w:t>
            </w:r>
          </w:p>
        </w:tc>
        <w:tc>
          <w:tcPr>
            <w:tcW w:w="5503" w:type="dxa"/>
            <w:tcMar>
              <w:top w:w="0" w:type="dxa"/>
              <w:left w:w="150" w:type="dxa"/>
              <w:bottom w:w="0" w:type="dxa"/>
              <w:right w:w="0" w:type="dxa"/>
            </w:tcMar>
            <w:vAlign w:val="center"/>
          </w:tcPr>
          <w:p w14:paraId="4AD9E1E0">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《中华人民共和国药品管理法》第十八条；《中华人民共和国药品管理法实施条例》第二十八条；《药物非临床研究质量管理规范》第三十条。</w:t>
            </w:r>
          </w:p>
        </w:tc>
      </w:tr>
      <w:tr w14:paraId="2FB6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76" w:hRule="exact"/>
          <w:jc w:val="center"/>
        </w:trPr>
        <w:tc>
          <w:tcPr>
            <w:tcW w:w="742" w:type="dxa"/>
            <w:vMerge w:val="continue"/>
            <w:vAlign w:val="center"/>
          </w:tcPr>
          <w:p w14:paraId="72297A4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5AC031A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32</w:t>
            </w:r>
          </w:p>
        </w:tc>
        <w:tc>
          <w:tcPr>
            <w:tcW w:w="8497" w:type="dxa"/>
            <w:tcMar>
              <w:top w:w="0" w:type="dxa"/>
              <w:left w:w="150" w:type="dxa"/>
              <w:bottom w:w="0" w:type="dxa"/>
              <w:right w:w="0" w:type="dxa"/>
            </w:tcMar>
            <w:vAlign w:val="center"/>
          </w:tcPr>
          <w:p w14:paraId="646A4CDB">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snapToGrid w:val="0"/>
                <w:kern w:val="0"/>
                <w:sz w:val="18"/>
                <w:szCs w:val="18"/>
              </w:rPr>
              <w:t>所有研究均应当有总结报告。总结报告应当经质量保证部门审查，最终由专题负责人签字批准，批准日期作为研究完成的日期。研究被取消或者终止时，专题负责人应当撰写简要试验报告。</w:t>
            </w:r>
          </w:p>
          <w:p w14:paraId="6F6831A9">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snapToGrid w:val="0"/>
                <w:kern w:val="0"/>
                <w:sz w:val="18"/>
                <w:szCs w:val="18"/>
              </w:rPr>
              <w:t>总结报告被批准后，需要修改或者补充时，应当以修订文件的形式予以修改或者补充，详细说明修改或者补充的内容、理由，并经质量保证部门审查，由专题负责人签署姓名和日期予以批准。为了满足注册申报要求修改总结报告格式的情况不属于总结报告的修订。</w:t>
            </w:r>
          </w:p>
        </w:tc>
        <w:tc>
          <w:tcPr>
            <w:tcW w:w="5503" w:type="dxa"/>
            <w:tcMar>
              <w:top w:w="0" w:type="dxa"/>
              <w:left w:w="150" w:type="dxa"/>
              <w:bottom w:w="0" w:type="dxa"/>
              <w:right w:w="0" w:type="dxa"/>
            </w:tcMar>
            <w:vAlign w:val="center"/>
          </w:tcPr>
          <w:p w14:paraId="0D3E3B58">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《中华人民共和国药品管理法》第十八条；《中华人民共和国药品管理法实施条例》第二十八条；《药物非临床研究质量管理规范》第三十二条、第三十四条。</w:t>
            </w:r>
          </w:p>
        </w:tc>
      </w:tr>
      <w:tr w14:paraId="642E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33" w:hRule="atLeast"/>
          <w:jc w:val="center"/>
        </w:trPr>
        <w:tc>
          <w:tcPr>
            <w:tcW w:w="742" w:type="dxa"/>
            <w:vAlign w:val="center"/>
          </w:tcPr>
          <w:p w14:paraId="737D07E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研究</w:t>
            </w:r>
          </w:p>
          <w:p w14:paraId="1E34034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工作</w:t>
            </w:r>
          </w:p>
          <w:p w14:paraId="464869E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的实</w:t>
            </w:r>
          </w:p>
          <w:p w14:paraId="755053C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施</w:t>
            </w:r>
          </w:p>
        </w:tc>
        <w:tc>
          <w:tcPr>
            <w:tcW w:w="742" w:type="dxa"/>
            <w:vAlign w:val="center"/>
          </w:tcPr>
          <w:p w14:paraId="738E614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33</w:t>
            </w:r>
          </w:p>
        </w:tc>
        <w:tc>
          <w:tcPr>
            <w:tcW w:w="8497" w:type="dxa"/>
            <w:tcMar>
              <w:top w:w="0" w:type="dxa"/>
              <w:left w:w="150" w:type="dxa"/>
              <w:bottom w:w="0" w:type="dxa"/>
              <w:right w:w="0" w:type="dxa"/>
            </w:tcMar>
            <w:vAlign w:val="center"/>
          </w:tcPr>
          <w:p w14:paraId="10466CB7">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snapToGrid w:val="0"/>
                <w:kern w:val="0"/>
                <w:sz w:val="18"/>
                <w:szCs w:val="18"/>
              </w:rPr>
              <w:t>以书面形式及时向机构负责人或者专题负责人报告检查结果，对于多场所研究，分研究场所的质量保证人员需将检查结果报告给其研究机构内的主要研究者和机构负责人，以及主研究场所的机构负责人、专题负责人和质量保证人员.</w:t>
            </w:r>
          </w:p>
          <w:p w14:paraId="149E82E4">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snapToGrid w:val="0"/>
                <w:kern w:val="0"/>
                <w:sz w:val="18"/>
                <w:szCs w:val="18"/>
              </w:rPr>
              <w:t>在多场所研究中，确保试验方案和总结报告中明确说明研究所涉及的主要研究者、主研究场所、分研究场所分别承担的任务。</w:t>
            </w:r>
          </w:p>
        </w:tc>
        <w:tc>
          <w:tcPr>
            <w:tcW w:w="5503" w:type="dxa"/>
            <w:tcMar>
              <w:top w:w="0" w:type="dxa"/>
              <w:left w:w="150" w:type="dxa"/>
              <w:bottom w:w="0" w:type="dxa"/>
              <w:right w:w="0" w:type="dxa"/>
            </w:tcMar>
            <w:vAlign w:val="center"/>
          </w:tcPr>
          <w:p w14:paraId="025CA615">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《药物非临床研究质量管理规范》第四条（四）、第八条（六）、第九条（十）。</w:t>
            </w:r>
          </w:p>
        </w:tc>
      </w:tr>
      <w:tr w14:paraId="3B4C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0" w:hRule="atLeast"/>
          <w:jc w:val="center"/>
        </w:trPr>
        <w:tc>
          <w:tcPr>
            <w:tcW w:w="742" w:type="dxa"/>
            <w:vMerge w:val="restart"/>
            <w:vAlign w:val="center"/>
          </w:tcPr>
          <w:p w14:paraId="2A52814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计算</w:t>
            </w:r>
          </w:p>
          <w:p w14:paraId="6657610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机化</w:t>
            </w:r>
          </w:p>
          <w:p w14:paraId="05BFE93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系统</w:t>
            </w:r>
          </w:p>
          <w:p w14:paraId="78B2C79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管理</w:t>
            </w:r>
          </w:p>
        </w:tc>
        <w:tc>
          <w:tcPr>
            <w:tcW w:w="742" w:type="dxa"/>
            <w:vAlign w:val="center"/>
          </w:tcPr>
          <w:p w14:paraId="2A8A603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34</w:t>
            </w:r>
          </w:p>
        </w:tc>
        <w:tc>
          <w:tcPr>
            <w:tcW w:w="8497" w:type="dxa"/>
            <w:tcMar>
              <w:top w:w="0" w:type="dxa"/>
              <w:left w:w="150" w:type="dxa"/>
              <w:bottom w:w="0" w:type="dxa"/>
              <w:right w:w="0" w:type="dxa"/>
            </w:tcMar>
            <w:vAlign w:val="center"/>
          </w:tcPr>
          <w:p w14:paraId="1CFFA02C">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snapToGrid w:val="0"/>
                <w:kern w:val="0"/>
                <w:sz w:val="18"/>
                <w:szCs w:val="18"/>
              </w:rPr>
              <w:t>用于数据采集、传输、储存、处理、归档等的计算机化系统（或者包含有计算机系统的设备）应当进行验证。计算机化系统所产生的电子数据应当有保存完整的稽查轨迹和电子签名，以确保数据的完整性和有效性。可靠的电子签名与手写签名或者盖章具有同等的法律效力。</w:t>
            </w:r>
          </w:p>
        </w:tc>
        <w:tc>
          <w:tcPr>
            <w:tcW w:w="5503" w:type="dxa"/>
            <w:tcMar>
              <w:top w:w="0" w:type="dxa"/>
              <w:left w:w="150" w:type="dxa"/>
              <w:bottom w:w="0" w:type="dxa"/>
              <w:right w:w="0" w:type="dxa"/>
            </w:tcMar>
            <w:vAlign w:val="center"/>
          </w:tcPr>
          <w:p w14:paraId="4C163CB6">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《中华人民共和国药品管理法》第十八条；《中华人民共和国药品管理法实施条例》第二十八条；《药物非临床研究质量管理规范》第十六条；《电子签名法》第三条、第十四条。</w:t>
            </w:r>
          </w:p>
        </w:tc>
      </w:tr>
      <w:tr w14:paraId="4F71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8" w:hRule="atLeast"/>
          <w:jc w:val="center"/>
        </w:trPr>
        <w:tc>
          <w:tcPr>
            <w:tcW w:w="742" w:type="dxa"/>
            <w:vMerge w:val="continue"/>
            <w:vAlign w:val="center"/>
          </w:tcPr>
          <w:p w14:paraId="5ACFD2C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p>
        </w:tc>
        <w:tc>
          <w:tcPr>
            <w:tcW w:w="742" w:type="dxa"/>
            <w:vAlign w:val="center"/>
          </w:tcPr>
          <w:p w14:paraId="6A45286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35</w:t>
            </w:r>
          </w:p>
        </w:tc>
        <w:tc>
          <w:tcPr>
            <w:tcW w:w="8497" w:type="dxa"/>
            <w:tcMar>
              <w:top w:w="0" w:type="dxa"/>
              <w:left w:w="150" w:type="dxa"/>
              <w:bottom w:w="0" w:type="dxa"/>
              <w:right w:w="0" w:type="dxa"/>
            </w:tcMar>
            <w:vAlign w:val="center"/>
          </w:tcPr>
          <w:p w14:paraId="503230AD">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snapToGrid w:val="0"/>
                <w:kern w:val="0"/>
                <w:sz w:val="18"/>
                <w:szCs w:val="18"/>
              </w:rPr>
              <w:t>采用计算机（化）系统生成记录或数据的，应当采取相应的管理措施与技术手段，确保生成的信息真实、准确、完整和可追溯。</w:t>
            </w:r>
          </w:p>
        </w:tc>
        <w:tc>
          <w:tcPr>
            <w:tcW w:w="5503" w:type="dxa"/>
            <w:tcMar>
              <w:top w:w="0" w:type="dxa"/>
              <w:left w:w="150" w:type="dxa"/>
              <w:bottom w:w="0" w:type="dxa"/>
              <w:right w:w="0" w:type="dxa"/>
            </w:tcMar>
            <w:vAlign w:val="center"/>
          </w:tcPr>
          <w:p w14:paraId="7054D0EC">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《中华人民共和国药品管理法》第十八条；《中华人民共和国药品管理法实施条例》第二十八</w:t>
            </w:r>
            <w:r>
              <w:rPr>
                <w:rFonts w:hint="eastAsia" w:ascii="方正仿宋_GBK" w:hAnsi="方正仿宋_GBK" w:eastAsia="方正仿宋_GBK" w:cs="方正仿宋_GBK"/>
                <w:spacing w:val="-6"/>
                <w:sz w:val="18"/>
                <w:szCs w:val="18"/>
              </w:rPr>
              <w:t>条；《药品记录与数据管理要求（试行）》第五条。</w:t>
            </w:r>
          </w:p>
        </w:tc>
      </w:tr>
    </w:tbl>
    <w:p w14:paraId="565338E2">
      <w:pPr>
        <w:rPr>
          <w:rFonts w:ascii="Times New Roman" w:hAnsi="Times New Roman"/>
        </w:rPr>
      </w:pPr>
    </w:p>
    <w:p w14:paraId="0FCA0A09">
      <w:pPr>
        <w:rPr>
          <w:rFonts w:ascii="Times New Roman" w:hAnsi="Times New Roman"/>
        </w:rPr>
      </w:pPr>
    </w:p>
    <w:p w14:paraId="45A889F6">
      <w:pPr>
        <w:rPr>
          <w:rFonts w:ascii="Times New Roman" w:hAnsi="Times New Roman"/>
        </w:rPr>
      </w:pPr>
    </w:p>
    <w:p w14:paraId="6A5A1887">
      <w:pPr>
        <w:rPr>
          <w:rFonts w:ascii="Times New Roman" w:hAnsi="Times New Roman"/>
        </w:rPr>
      </w:pPr>
    </w:p>
    <w:tbl>
      <w:tblPr>
        <w:tblStyle w:val="9"/>
        <w:tblW w:w="15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42"/>
        <w:gridCol w:w="8497"/>
        <w:gridCol w:w="5499"/>
      </w:tblGrid>
      <w:tr w14:paraId="6DBE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738" w:type="dxa"/>
            <w:vAlign w:val="center"/>
          </w:tcPr>
          <w:p w14:paraId="1C0102CC">
            <w:pPr>
              <w:snapToGrid w:val="0"/>
              <w:spacing w:line="400" w:lineRule="exact"/>
              <w:jc w:val="center"/>
              <w:rPr>
                <w:rFonts w:eastAsia="方正黑体_GBK"/>
                <w:bCs/>
                <w:kern w:val="0"/>
                <w:sz w:val="18"/>
                <w:szCs w:val="18"/>
              </w:rPr>
            </w:pPr>
            <w:r>
              <w:rPr>
                <w:rFonts w:hint="eastAsia" w:eastAsia="方正黑体_GBK"/>
                <w:bCs/>
                <w:kern w:val="0"/>
                <w:sz w:val="18"/>
                <w:szCs w:val="18"/>
              </w:rPr>
              <w:t>表3</w:t>
            </w:r>
          </w:p>
        </w:tc>
        <w:tc>
          <w:tcPr>
            <w:tcW w:w="14738" w:type="dxa"/>
            <w:gridSpan w:val="3"/>
            <w:vAlign w:val="center"/>
          </w:tcPr>
          <w:p w14:paraId="013DF895">
            <w:pPr>
              <w:snapToGrid w:val="0"/>
              <w:spacing w:line="400" w:lineRule="exact"/>
              <w:jc w:val="center"/>
              <w:rPr>
                <w:rFonts w:eastAsia="方正黑体_GBK"/>
                <w:bCs/>
                <w:kern w:val="0"/>
                <w:sz w:val="18"/>
                <w:szCs w:val="18"/>
              </w:rPr>
            </w:pPr>
            <w:r>
              <w:rPr>
                <w:rFonts w:hint="eastAsia" w:eastAsia="方正黑体_GBK"/>
                <w:bCs/>
                <w:kern w:val="0"/>
                <w:sz w:val="18"/>
                <w:szCs w:val="18"/>
              </w:rPr>
              <w:t>医疗器械临床试验机构主体责任清单</w:t>
            </w:r>
          </w:p>
        </w:tc>
      </w:tr>
      <w:tr w14:paraId="7550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738" w:type="dxa"/>
            <w:vAlign w:val="center"/>
          </w:tcPr>
          <w:p w14:paraId="35BF943C">
            <w:pPr>
              <w:snapToGrid w:val="0"/>
              <w:spacing w:line="400" w:lineRule="exact"/>
              <w:jc w:val="center"/>
              <w:rPr>
                <w:rFonts w:eastAsia="方正黑体_GBK"/>
                <w:bCs/>
                <w:kern w:val="0"/>
                <w:sz w:val="18"/>
                <w:szCs w:val="18"/>
              </w:rPr>
            </w:pPr>
            <w:r>
              <w:rPr>
                <w:rFonts w:hint="eastAsia" w:eastAsia="方正黑体_GBK"/>
                <w:bCs/>
                <w:kern w:val="0"/>
                <w:sz w:val="18"/>
                <w:szCs w:val="18"/>
              </w:rPr>
              <w:t>分类</w:t>
            </w:r>
          </w:p>
        </w:tc>
        <w:tc>
          <w:tcPr>
            <w:tcW w:w="742" w:type="dxa"/>
            <w:vAlign w:val="center"/>
          </w:tcPr>
          <w:p w14:paraId="09D758BA">
            <w:pPr>
              <w:snapToGrid w:val="0"/>
              <w:spacing w:line="400" w:lineRule="exact"/>
              <w:jc w:val="center"/>
              <w:rPr>
                <w:rFonts w:eastAsia="方正黑体_GBK"/>
                <w:bCs/>
                <w:kern w:val="0"/>
                <w:sz w:val="18"/>
                <w:szCs w:val="18"/>
              </w:rPr>
            </w:pPr>
            <w:r>
              <w:rPr>
                <w:rFonts w:hint="eastAsia" w:eastAsia="方正黑体_GBK"/>
                <w:bCs/>
                <w:kern w:val="0"/>
                <w:sz w:val="18"/>
                <w:szCs w:val="18"/>
              </w:rPr>
              <w:t>序号</w:t>
            </w:r>
          </w:p>
        </w:tc>
        <w:tc>
          <w:tcPr>
            <w:tcW w:w="8497" w:type="dxa"/>
            <w:vAlign w:val="center"/>
          </w:tcPr>
          <w:p w14:paraId="2E10F142">
            <w:pPr>
              <w:snapToGrid w:val="0"/>
              <w:spacing w:line="400" w:lineRule="exact"/>
              <w:jc w:val="center"/>
              <w:rPr>
                <w:rFonts w:eastAsia="方正黑体_GBK"/>
                <w:bCs/>
                <w:kern w:val="0"/>
                <w:sz w:val="18"/>
                <w:szCs w:val="18"/>
              </w:rPr>
            </w:pPr>
            <w:r>
              <w:rPr>
                <w:rFonts w:hint="eastAsia" w:eastAsia="方正黑体_GBK"/>
                <w:bCs/>
                <w:kern w:val="0"/>
                <w:sz w:val="18"/>
                <w:szCs w:val="18"/>
              </w:rPr>
              <w:t>主体责任</w:t>
            </w:r>
          </w:p>
        </w:tc>
        <w:tc>
          <w:tcPr>
            <w:tcW w:w="5499" w:type="dxa"/>
            <w:vAlign w:val="center"/>
          </w:tcPr>
          <w:p w14:paraId="4FEE67A9">
            <w:pPr>
              <w:snapToGrid w:val="0"/>
              <w:spacing w:line="400" w:lineRule="exact"/>
              <w:jc w:val="center"/>
              <w:rPr>
                <w:rFonts w:eastAsia="方正黑体_GBK"/>
                <w:bCs/>
                <w:kern w:val="0"/>
                <w:sz w:val="18"/>
                <w:szCs w:val="18"/>
              </w:rPr>
            </w:pPr>
            <w:r>
              <w:rPr>
                <w:rFonts w:hint="eastAsia" w:eastAsia="方正黑体_GBK"/>
                <w:bCs/>
                <w:kern w:val="0"/>
                <w:sz w:val="18"/>
                <w:szCs w:val="18"/>
              </w:rPr>
              <w:t>责任依据</w:t>
            </w:r>
          </w:p>
        </w:tc>
      </w:tr>
      <w:tr w14:paraId="2D26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38" w:type="dxa"/>
            <w:vMerge w:val="restart"/>
            <w:vAlign w:val="center"/>
          </w:tcPr>
          <w:p w14:paraId="4503F8AE">
            <w:pPr>
              <w:snapToGrid w:val="0"/>
              <w:spacing w:line="360" w:lineRule="exact"/>
              <w:jc w:val="center"/>
              <w:rPr>
                <w:rFonts w:hint="eastAsia" w:ascii="方正仿宋_GBK" w:hAnsi="方正仿宋_GBK" w:eastAsia="方正仿宋_GBK" w:cs="方正仿宋_GBK"/>
                <w:kern w:val="0"/>
                <w:sz w:val="18"/>
                <w:szCs w:val="18"/>
              </w:rPr>
            </w:pPr>
            <w:r>
              <w:rPr>
                <w:rStyle w:val="34"/>
                <w:rFonts w:hint="eastAsia" w:ascii="方正仿宋_GBK" w:hAnsi="方正仿宋_GBK" w:eastAsia="方正仿宋_GBK" w:cs="方正仿宋_GBK"/>
                <w:b w:val="0"/>
                <w:kern w:val="0"/>
                <w:sz w:val="18"/>
                <w:szCs w:val="18"/>
              </w:rPr>
              <w:t>开展条件</w:t>
            </w:r>
          </w:p>
        </w:tc>
        <w:tc>
          <w:tcPr>
            <w:tcW w:w="742" w:type="dxa"/>
            <w:vAlign w:val="center"/>
          </w:tcPr>
          <w:p w14:paraId="11519C87">
            <w:pPr>
              <w:snapToGrid w:val="0"/>
              <w:spacing w:line="36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w:t>
            </w:r>
          </w:p>
        </w:tc>
        <w:tc>
          <w:tcPr>
            <w:tcW w:w="8497" w:type="dxa"/>
            <w:vAlign w:val="center"/>
          </w:tcPr>
          <w:p w14:paraId="121C3286">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器械临床试验机构实行备案管理；医疗器械临床试验应当在具备相应条件并且按照规定备案的医疗器械临床试验机构实施；主要研究者应符合备案条件；临床试验机构设施和条件与临床试验项目相适应，试验相关仪器和设备应定期维护和校准；研究者应具有承担</w:t>
            </w:r>
            <w:r>
              <w:rPr>
                <w:rFonts w:hint="eastAsia" w:ascii="方正仿宋_GBK" w:hAnsi="方正仿宋_GBK" w:eastAsia="方正仿宋_GBK" w:cs="方正仿宋_GBK"/>
                <w:spacing w:val="-6"/>
                <w:kern w:val="0"/>
                <w:sz w:val="18"/>
                <w:szCs w:val="18"/>
              </w:rPr>
              <w:t>医疗器械临床试验相应的专业技术资格、培训经历和相关经验，并得到主要研究者的授权。</w:t>
            </w:r>
          </w:p>
        </w:tc>
        <w:tc>
          <w:tcPr>
            <w:tcW w:w="5499" w:type="dxa"/>
            <w:vAlign w:val="center"/>
          </w:tcPr>
          <w:p w14:paraId="338625A6">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《医疗器械监督管理条例》第二十六条；《</w:t>
            </w:r>
            <w:r>
              <w:rPr>
                <w:rFonts w:hint="eastAsia" w:ascii="方正仿宋_GBK" w:hAnsi="方正仿宋_GBK" w:eastAsia="方正仿宋_GBK" w:cs="方正仿宋_GBK"/>
                <w:kern w:val="0"/>
                <w:sz w:val="18"/>
                <w:szCs w:val="18"/>
                <w:lang w:bidi="ar"/>
              </w:rPr>
              <w:t>医疗器械注册与备案管理办法</w:t>
            </w:r>
            <w:r>
              <w:rPr>
                <w:rFonts w:hint="eastAsia" w:ascii="方正仿宋_GBK" w:hAnsi="方正仿宋_GBK" w:eastAsia="方正仿宋_GBK" w:cs="方正仿宋_GBK"/>
                <w:kern w:val="0"/>
                <w:sz w:val="18"/>
                <w:szCs w:val="18"/>
              </w:rPr>
              <w:t>》第三十七条；《</w:t>
            </w:r>
            <w:r>
              <w:rPr>
                <w:rFonts w:hint="eastAsia" w:ascii="方正仿宋_GBK" w:hAnsi="方正仿宋_GBK" w:eastAsia="方正仿宋_GBK" w:cs="方正仿宋_GBK"/>
                <w:kern w:val="0"/>
                <w:sz w:val="18"/>
                <w:szCs w:val="18"/>
                <w:shd w:val="clear" w:color="auto" w:fill="FFFFFF"/>
              </w:rPr>
              <w:t>体外诊断试剂注册与备案管理办法</w:t>
            </w:r>
            <w:r>
              <w:rPr>
                <w:rFonts w:hint="eastAsia" w:ascii="方正仿宋_GBK" w:hAnsi="方正仿宋_GBK" w:eastAsia="方正仿宋_GBK" w:cs="方正仿宋_GBK"/>
                <w:kern w:val="0"/>
                <w:sz w:val="18"/>
                <w:szCs w:val="18"/>
              </w:rPr>
              <w:t>》第四十一条。</w:t>
            </w:r>
          </w:p>
        </w:tc>
      </w:tr>
      <w:tr w14:paraId="1DD7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8" w:type="dxa"/>
            <w:vMerge w:val="continue"/>
            <w:vAlign w:val="center"/>
          </w:tcPr>
          <w:p w14:paraId="2CCA7D46">
            <w:pPr>
              <w:snapToGrid w:val="0"/>
              <w:spacing w:line="360" w:lineRule="exact"/>
              <w:rPr>
                <w:rFonts w:hint="eastAsia" w:ascii="方正仿宋_GBK" w:hAnsi="方正仿宋_GBK" w:eastAsia="方正仿宋_GBK" w:cs="方正仿宋_GBK"/>
                <w:kern w:val="0"/>
                <w:sz w:val="18"/>
                <w:szCs w:val="18"/>
              </w:rPr>
            </w:pPr>
          </w:p>
        </w:tc>
        <w:tc>
          <w:tcPr>
            <w:tcW w:w="742" w:type="dxa"/>
            <w:vAlign w:val="center"/>
          </w:tcPr>
          <w:p w14:paraId="750ED3B7">
            <w:pPr>
              <w:snapToGrid w:val="0"/>
              <w:spacing w:line="36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w:t>
            </w:r>
          </w:p>
        </w:tc>
        <w:tc>
          <w:tcPr>
            <w:tcW w:w="8497" w:type="dxa"/>
            <w:vAlign w:val="center"/>
          </w:tcPr>
          <w:p w14:paraId="2358FFB9">
            <w:pPr>
              <w:pStyle w:val="35"/>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试验医疗器械应当按照医疗器械生产质量管理规范的相关要求生产且质量合格；试验医疗器械具有基于产品技术要求的产品检验报告。</w:t>
            </w:r>
          </w:p>
        </w:tc>
        <w:tc>
          <w:tcPr>
            <w:tcW w:w="5499" w:type="dxa"/>
            <w:vAlign w:val="center"/>
          </w:tcPr>
          <w:p w14:paraId="79391762">
            <w:pPr>
              <w:pStyle w:val="35"/>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2"/>
                <w:sz w:val="18"/>
                <w:szCs w:val="18"/>
              </w:rPr>
            </w:pPr>
            <w:r>
              <w:rPr>
                <w:rFonts w:hint="eastAsia" w:ascii="方正仿宋_GBK" w:hAnsi="方正仿宋_GBK" w:eastAsia="方正仿宋_GBK" w:cs="方正仿宋_GBK"/>
                <w:sz w:val="18"/>
                <w:szCs w:val="18"/>
              </w:rPr>
              <w:t>《医疗器械监督管理条例》第七条；《</w:t>
            </w:r>
            <w:r>
              <w:rPr>
                <w:rFonts w:hint="eastAsia" w:ascii="方正仿宋_GBK" w:hAnsi="方正仿宋_GBK" w:eastAsia="方正仿宋_GBK" w:cs="方正仿宋_GBK"/>
                <w:sz w:val="18"/>
                <w:szCs w:val="18"/>
                <w:lang w:bidi="ar"/>
              </w:rPr>
              <w:t>医疗器械注册与备案管理办法</w:t>
            </w:r>
            <w:r>
              <w:rPr>
                <w:rFonts w:hint="eastAsia" w:ascii="方正仿宋_GBK" w:hAnsi="方正仿宋_GBK" w:eastAsia="方正仿宋_GBK" w:cs="方正仿宋_GBK"/>
                <w:sz w:val="18"/>
                <w:szCs w:val="18"/>
              </w:rPr>
              <w:t>》第三十条；《</w:t>
            </w:r>
            <w:r>
              <w:rPr>
                <w:rFonts w:hint="eastAsia" w:ascii="方正仿宋_GBK" w:hAnsi="方正仿宋_GBK" w:eastAsia="方正仿宋_GBK" w:cs="方正仿宋_GBK"/>
                <w:sz w:val="18"/>
                <w:szCs w:val="18"/>
                <w:shd w:val="clear" w:color="auto" w:fill="FFFFFF"/>
              </w:rPr>
              <w:t>体外诊断试剂注册与备案管理办法</w:t>
            </w:r>
            <w:r>
              <w:rPr>
                <w:rFonts w:hint="eastAsia" w:ascii="方正仿宋_GBK" w:hAnsi="方正仿宋_GBK" w:eastAsia="方正仿宋_GBK" w:cs="方正仿宋_GBK"/>
                <w:sz w:val="18"/>
                <w:szCs w:val="18"/>
              </w:rPr>
              <w:t>》第三十一条。</w:t>
            </w:r>
          </w:p>
        </w:tc>
      </w:tr>
      <w:tr w14:paraId="5C25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38" w:type="dxa"/>
            <w:vMerge w:val="continue"/>
            <w:vAlign w:val="center"/>
          </w:tcPr>
          <w:p w14:paraId="01B3B1DC">
            <w:pPr>
              <w:snapToGrid w:val="0"/>
              <w:spacing w:line="360" w:lineRule="exact"/>
              <w:rPr>
                <w:rFonts w:hint="eastAsia" w:ascii="方正仿宋_GBK" w:hAnsi="方正仿宋_GBK" w:eastAsia="方正仿宋_GBK" w:cs="方正仿宋_GBK"/>
                <w:kern w:val="0"/>
                <w:sz w:val="18"/>
                <w:szCs w:val="18"/>
              </w:rPr>
            </w:pPr>
          </w:p>
        </w:tc>
        <w:tc>
          <w:tcPr>
            <w:tcW w:w="742" w:type="dxa"/>
            <w:vAlign w:val="center"/>
          </w:tcPr>
          <w:p w14:paraId="090D7DEA">
            <w:pPr>
              <w:snapToGrid w:val="0"/>
              <w:spacing w:line="36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w:t>
            </w:r>
          </w:p>
        </w:tc>
        <w:tc>
          <w:tcPr>
            <w:tcW w:w="8497" w:type="dxa"/>
            <w:vAlign w:val="center"/>
          </w:tcPr>
          <w:p w14:paraId="37B2061B">
            <w:pPr>
              <w:pStyle w:val="35"/>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医疗器械临床试验机构应当符合备案条件，建立临床试验管理组织架构和管理制度。医疗</w:t>
            </w:r>
            <w:r>
              <w:rPr>
                <w:rFonts w:hint="eastAsia" w:ascii="方正仿宋_GBK" w:hAnsi="方正仿宋_GBK" w:eastAsia="方正仿宋_GBK" w:cs="方正仿宋_GBK"/>
                <w:spacing w:val="-6"/>
                <w:sz w:val="18"/>
                <w:szCs w:val="18"/>
              </w:rPr>
              <w:t>器械临床试验机构应当具有相应的临床试验管理部门，承担医疗器械临床试验的管理工作。</w:t>
            </w:r>
          </w:p>
        </w:tc>
        <w:tc>
          <w:tcPr>
            <w:tcW w:w="5499" w:type="dxa"/>
            <w:vAlign w:val="center"/>
          </w:tcPr>
          <w:p w14:paraId="4DAC1129">
            <w:pPr>
              <w:pStyle w:val="35"/>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《医疗器械临床试验质量管理规范》第十八条。</w:t>
            </w:r>
          </w:p>
        </w:tc>
      </w:tr>
      <w:tr w14:paraId="05E6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38" w:type="dxa"/>
            <w:vMerge w:val="continue"/>
            <w:vAlign w:val="center"/>
          </w:tcPr>
          <w:p w14:paraId="37020F56">
            <w:pPr>
              <w:snapToGrid w:val="0"/>
              <w:spacing w:line="360" w:lineRule="exact"/>
              <w:rPr>
                <w:rFonts w:hint="eastAsia" w:ascii="方正仿宋_GBK" w:hAnsi="方正仿宋_GBK" w:eastAsia="方正仿宋_GBK" w:cs="方正仿宋_GBK"/>
                <w:kern w:val="0"/>
                <w:sz w:val="18"/>
                <w:szCs w:val="18"/>
              </w:rPr>
            </w:pPr>
          </w:p>
        </w:tc>
        <w:tc>
          <w:tcPr>
            <w:tcW w:w="742" w:type="dxa"/>
            <w:vAlign w:val="center"/>
          </w:tcPr>
          <w:p w14:paraId="0B12966D">
            <w:pPr>
              <w:snapToGrid w:val="0"/>
              <w:spacing w:line="36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w:t>
            </w:r>
          </w:p>
        </w:tc>
        <w:tc>
          <w:tcPr>
            <w:tcW w:w="8497" w:type="dxa"/>
            <w:vAlign w:val="center"/>
          </w:tcPr>
          <w:p w14:paraId="50E0E4AD">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医疗器械临床试验机构在接受医疗器械临床试验前，应当根据试验医疗器械的特性评估相关资源，确保具备相匹配的资质、人员、设施、条件等。</w:t>
            </w:r>
          </w:p>
        </w:tc>
        <w:tc>
          <w:tcPr>
            <w:tcW w:w="5499" w:type="dxa"/>
            <w:vAlign w:val="center"/>
          </w:tcPr>
          <w:p w14:paraId="025451BF">
            <w:pPr>
              <w:pStyle w:val="35"/>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《医疗器械临床试验质量管理规范》第二十一条。</w:t>
            </w:r>
          </w:p>
        </w:tc>
      </w:tr>
      <w:tr w14:paraId="1B21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38" w:type="dxa"/>
            <w:vMerge w:val="restart"/>
            <w:vAlign w:val="center"/>
          </w:tcPr>
          <w:p w14:paraId="4493821C">
            <w:pPr>
              <w:widowControl/>
              <w:snapToGrid w:val="0"/>
              <w:spacing w:line="36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受试者权益保护</w:t>
            </w:r>
          </w:p>
        </w:tc>
        <w:tc>
          <w:tcPr>
            <w:tcW w:w="742" w:type="dxa"/>
            <w:vAlign w:val="center"/>
          </w:tcPr>
          <w:p w14:paraId="4BE41EF4">
            <w:pPr>
              <w:snapToGrid w:val="0"/>
              <w:spacing w:line="36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w:t>
            </w:r>
          </w:p>
        </w:tc>
        <w:tc>
          <w:tcPr>
            <w:tcW w:w="8497" w:type="dxa"/>
            <w:vAlign w:val="center"/>
          </w:tcPr>
          <w:p w14:paraId="2B9E1DC0">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器械临床试验应当遵守《世界医学大会赫尔辛基宣言》的伦理准则和国家涉及人的生物医学研究伦理的相关规范。参与医疗器械临床试验的各方应当按照试验中各自的职责承担相应的伦理责任；医疗器械临床试验应当获得伦理委员会的同意。</w:t>
            </w:r>
          </w:p>
        </w:tc>
        <w:tc>
          <w:tcPr>
            <w:tcW w:w="5499" w:type="dxa"/>
            <w:vAlign w:val="center"/>
          </w:tcPr>
          <w:p w14:paraId="369B3168">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《医疗器械临床试验质量管理规范》第三条、第六条。</w:t>
            </w:r>
          </w:p>
        </w:tc>
      </w:tr>
      <w:tr w14:paraId="363D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38" w:type="dxa"/>
            <w:vMerge w:val="continue"/>
            <w:vAlign w:val="center"/>
          </w:tcPr>
          <w:p w14:paraId="1439FC4F">
            <w:pPr>
              <w:widowControl/>
              <w:snapToGrid w:val="0"/>
              <w:spacing w:line="360" w:lineRule="exact"/>
              <w:jc w:val="center"/>
              <w:rPr>
                <w:rFonts w:hint="eastAsia" w:ascii="方正仿宋_GBK" w:hAnsi="方正仿宋_GBK" w:eastAsia="方正仿宋_GBK" w:cs="方正仿宋_GBK"/>
                <w:kern w:val="0"/>
                <w:sz w:val="18"/>
                <w:szCs w:val="18"/>
              </w:rPr>
            </w:pPr>
          </w:p>
        </w:tc>
        <w:tc>
          <w:tcPr>
            <w:tcW w:w="742" w:type="dxa"/>
            <w:vAlign w:val="center"/>
          </w:tcPr>
          <w:p w14:paraId="76478CD3">
            <w:pPr>
              <w:snapToGrid w:val="0"/>
              <w:spacing w:line="36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w:t>
            </w:r>
          </w:p>
        </w:tc>
        <w:tc>
          <w:tcPr>
            <w:tcW w:w="8497" w:type="dxa"/>
            <w:vAlign w:val="center"/>
          </w:tcPr>
          <w:p w14:paraId="11BA7728">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伦理审查内容及审查意见应当符合相关规范、GCP、指导原则和标准操作规程要求；伦理委员会应当保存伦理审查的全部记录；伦理委员会应当对临床试验进行跟踪审查，应当对安全性信息、方案偏离等内容进行审查；研究者应当使用经伦理委员会同意的最新版本知情同意书和其他提供给受试者的书面材料；知情同意书更新并获得伦理委员会审查同意后，所有受影响的未结束试验流程的受试者应再次获得知情同意。</w:t>
            </w:r>
          </w:p>
        </w:tc>
        <w:tc>
          <w:tcPr>
            <w:tcW w:w="5499" w:type="dxa"/>
            <w:vAlign w:val="center"/>
          </w:tcPr>
          <w:p w14:paraId="4A92AA2C">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《医疗器械监督管理条例》第二十八条。</w:t>
            </w:r>
          </w:p>
        </w:tc>
      </w:tr>
      <w:tr w14:paraId="1007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jc w:val="center"/>
        </w:trPr>
        <w:tc>
          <w:tcPr>
            <w:tcW w:w="738" w:type="dxa"/>
            <w:vMerge w:val="continue"/>
            <w:vAlign w:val="center"/>
          </w:tcPr>
          <w:p w14:paraId="3D0A43EB">
            <w:pPr>
              <w:widowControl/>
              <w:snapToGrid w:val="0"/>
              <w:spacing w:line="360" w:lineRule="exact"/>
              <w:jc w:val="center"/>
              <w:rPr>
                <w:rFonts w:hint="eastAsia" w:ascii="方正仿宋_GBK" w:hAnsi="方正仿宋_GBK" w:eastAsia="方正仿宋_GBK" w:cs="方正仿宋_GBK"/>
                <w:kern w:val="0"/>
                <w:sz w:val="18"/>
                <w:szCs w:val="18"/>
              </w:rPr>
            </w:pPr>
          </w:p>
        </w:tc>
        <w:tc>
          <w:tcPr>
            <w:tcW w:w="742" w:type="dxa"/>
            <w:vAlign w:val="center"/>
          </w:tcPr>
          <w:p w14:paraId="71CCF1D3">
            <w:pPr>
              <w:snapToGrid w:val="0"/>
              <w:spacing w:line="36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w:t>
            </w:r>
          </w:p>
        </w:tc>
        <w:tc>
          <w:tcPr>
            <w:tcW w:w="8497" w:type="dxa"/>
            <w:vAlign w:val="center"/>
          </w:tcPr>
          <w:p w14:paraId="61455570">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实施医疗器械临床试验应当有充分的科学依据和明确的试验目的，权衡受试者和社会预期的风险和获益；只有当预期的获益大于风险时，方可实施或者继续实施临床试验。</w:t>
            </w:r>
          </w:p>
        </w:tc>
        <w:tc>
          <w:tcPr>
            <w:tcW w:w="5499" w:type="dxa"/>
            <w:vAlign w:val="center"/>
          </w:tcPr>
          <w:p w14:paraId="4085A101">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《医疗器械临床试验质量管理规范》</w:t>
            </w:r>
            <w:r>
              <w:rPr>
                <w:rFonts w:hint="eastAsia" w:ascii="方正仿宋_GBK" w:hAnsi="方正仿宋_GBK" w:eastAsia="方正仿宋_GBK" w:cs="方正仿宋_GBK"/>
                <w:spacing w:val="-6"/>
                <w:kern w:val="0"/>
                <w:sz w:val="18"/>
                <w:szCs w:val="18"/>
              </w:rPr>
              <w:t>第四条。</w:t>
            </w:r>
          </w:p>
        </w:tc>
      </w:tr>
      <w:tr w14:paraId="05EC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738" w:type="dxa"/>
            <w:vMerge w:val="restart"/>
            <w:vAlign w:val="center"/>
          </w:tcPr>
          <w:p w14:paraId="0183A451">
            <w:pPr>
              <w:widowControl/>
              <w:snapToGrid w:val="0"/>
              <w:spacing w:line="40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质量管理</w:t>
            </w:r>
          </w:p>
        </w:tc>
        <w:tc>
          <w:tcPr>
            <w:tcW w:w="742" w:type="dxa"/>
            <w:vAlign w:val="center"/>
          </w:tcPr>
          <w:p w14:paraId="1EA11030">
            <w:pPr>
              <w:snapToGrid w:val="0"/>
              <w:spacing w:line="40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8</w:t>
            </w:r>
          </w:p>
        </w:tc>
        <w:tc>
          <w:tcPr>
            <w:tcW w:w="8497" w:type="dxa"/>
            <w:vAlign w:val="center"/>
          </w:tcPr>
          <w:p w14:paraId="4170D56C">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器械临床试验机构应当建立质量管理制度，涵盖医疗器械临床试验实施的全过程，包括培训和考核、临床试验的实施、医疗器械的管理、生物样本的管理、不良事件和器械缺陷的处理以及安全性信息的报告、记录、质量控制等制度，确保主要研究者履行其临床试验相关职责，保证受试者得到妥善的医疗处理，确保试验产生数据的真实性。</w:t>
            </w:r>
          </w:p>
        </w:tc>
        <w:tc>
          <w:tcPr>
            <w:tcW w:w="5499" w:type="dxa"/>
            <w:vAlign w:val="center"/>
          </w:tcPr>
          <w:p w14:paraId="6F4F359A">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《医疗器械临床试验质量管理规范》第二十条。</w:t>
            </w:r>
          </w:p>
        </w:tc>
      </w:tr>
      <w:tr w14:paraId="48A4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38" w:type="dxa"/>
            <w:vMerge w:val="continue"/>
            <w:vAlign w:val="center"/>
          </w:tcPr>
          <w:p w14:paraId="0899FBB6">
            <w:pPr>
              <w:widowControl/>
              <w:snapToGrid w:val="0"/>
              <w:spacing w:line="400" w:lineRule="exact"/>
              <w:jc w:val="center"/>
              <w:rPr>
                <w:rFonts w:hint="eastAsia" w:ascii="方正仿宋_GBK" w:hAnsi="方正仿宋_GBK" w:eastAsia="方正仿宋_GBK" w:cs="方正仿宋_GBK"/>
                <w:kern w:val="0"/>
                <w:sz w:val="18"/>
                <w:szCs w:val="18"/>
              </w:rPr>
            </w:pPr>
          </w:p>
        </w:tc>
        <w:tc>
          <w:tcPr>
            <w:tcW w:w="742" w:type="dxa"/>
            <w:vAlign w:val="center"/>
          </w:tcPr>
          <w:p w14:paraId="438C52B6">
            <w:pPr>
              <w:snapToGrid w:val="0"/>
              <w:spacing w:line="40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9</w:t>
            </w:r>
          </w:p>
        </w:tc>
        <w:tc>
          <w:tcPr>
            <w:tcW w:w="8497" w:type="dxa"/>
            <w:vAlign w:val="center"/>
          </w:tcPr>
          <w:p w14:paraId="3D916BD1">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临床试验方案的偏离，应报告伦理委员会。</w:t>
            </w:r>
          </w:p>
        </w:tc>
        <w:tc>
          <w:tcPr>
            <w:tcW w:w="5499" w:type="dxa"/>
            <w:vAlign w:val="center"/>
          </w:tcPr>
          <w:p w14:paraId="17CF165A">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《医疗器械临床试验质量管理规范》第三十四条。</w:t>
            </w:r>
          </w:p>
        </w:tc>
      </w:tr>
      <w:tr w14:paraId="0C92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38" w:type="dxa"/>
            <w:vMerge w:val="continue"/>
            <w:vAlign w:val="center"/>
          </w:tcPr>
          <w:p w14:paraId="3779ABC4">
            <w:pPr>
              <w:widowControl/>
              <w:snapToGrid w:val="0"/>
              <w:spacing w:line="400" w:lineRule="exact"/>
              <w:jc w:val="center"/>
              <w:rPr>
                <w:rFonts w:hint="eastAsia" w:ascii="方正仿宋_GBK" w:hAnsi="方正仿宋_GBK" w:eastAsia="方正仿宋_GBK" w:cs="方正仿宋_GBK"/>
                <w:kern w:val="0"/>
                <w:sz w:val="18"/>
                <w:szCs w:val="18"/>
              </w:rPr>
            </w:pPr>
          </w:p>
        </w:tc>
        <w:tc>
          <w:tcPr>
            <w:tcW w:w="742" w:type="dxa"/>
            <w:vAlign w:val="center"/>
          </w:tcPr>
          <w:p w14:paraId="79052B41">
            <w:pPr>
              <w:snapToGrid w:val="0"/>
              <w:spacing w:line="40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10</w:t>
            </w:r>
          </w:p>
        </w:tc>
        <w:tc>
          <w:tcPr>
            <w:tcW w:w="8497" w:type="dxa"/>
            <w:vAlign w:val="center"/>
          </w:tcPr>
          <w:p w14:paraId="31EC5FAA">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医疗器械临床试验数据应当真实、准确、完整、具有可追溯性；医疗器械临床试验的源数据应当清晰可辨识，不得随意更改；确需更改时应当说明理由，签名并注明日期。</w:t>
            </w:r>
          </w:p>
        </w:tc>
        <w:tc>
          <w:tcPr>
            <w:tcW w:w="5499" w:type="dxa"/>
            <w:vAlign w:val="center"/>
          </w:tcPr>
          <w:p w14:paraId="1B740FB9">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《医疗器械临床试验质量管理规范》第五十七条。</w:t>
            </w:r>
          </w:p>
        </w:tc>
      </w:tr>
      <w:tr w14:paraId="17E3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738" w:type="dxa"/>
            <w:vMerge w:val="continue"/>
            <w:vAlign w:val="center"/>
          </w:tcPr>
          <w:p w14:paraId="62B6F410">
            <w:pPr>
              <w:widowControl/>
              <w:snapToGrid w:val="0"/>
              <w:spacing w:line="400" w:lineRule="exact"/>
              <w:jc w:val="center"/>
              <w:rPr>
                <w:rFonts w:hint="eastAsia" w:ascii="方正仿宋_GBK" w:hAnsi="方正仿宋_GBK" w:eastAsia="方正仿宋_GBK" w:cs="方正仿宋_GBK"/>
                <w:kern w:val="0"/>
                <w:sz w:val="18"/>
                <w:szCs w:val="18"/>
              </w:rPr>
            </w:pPr>
          </w:p>
        </w:tc>
        <w:tc>
          <w:tcPr>
            <w:tcW w:w="742" w:type="dxa"/>
            <w:vAlign w:val="center"/>
          </w:tcPr>
          <w:p w14:paraId="61B769FF">
            <w:pPr>
              <w:snapToGrid w:val="0"/>
              <w:spacing w:line="40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11</w:t>
            </w:r>
          </w:p>
        </w:tc>
        <w:tc>
          <w:tcPr>
            <w:tcW w:w="8497" w:type="dxa"/>
            <w:vAlign w:val="center"/>
          </w:tcPr>
          <w:p w14:paraId="5ED34637">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临床试验报告一般包含医疗器械临床试验基本信息、实施情况、统计分析方法、试验结果、不良事件和器械缺陷报告以及其处理情况、对试验结果的分析讨论、临床试验结论、伦理情况说明、存在问题以及改进建议等内容。临床试验方案、临床试验报告应当由主要研究者签名、注明日期，经医疗器械临床试验机构审核签章后交申办者。</w:t>
            </w:r>
          </w:p>
        </w:tc>
        <w:tc>
          <w:tcPr>
            <w:tcW w:w="5499" w:type="dxa"/>
            <w:vAlign w:val="center"/>
          </w:tcPr>
          <w:p w14:paraId="751843D9">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《医疗器械临床试验质量管理规范》第五十二、五十三条。</w:t>
            </w:r>
          </w:p>
        </w:tc>
      </w:tr>
      <w:tr w14:paraId="4E26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38" w:type="dxa"/>
            <w:vMerge w:val="restart"/>
            <w:vAlign w:val="center"/>
          </w:tcPr>
          <w:p w14:paraId="0211182A">
            <w:pPr>
              <w:widowControl/>
              <w:snapToGrid w:val="0"/>
              <w:spacing w:line="40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试验物品</w:t>
            </w:r>
          </w:p>
          <w:p w14:paraId="775093BD">
            <w:pPr>
              <w:widowControl/>
              <w:snapToGrid w:val="0"/>
              <w:spacing w:line="40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管理</w:t>
            </w:r>
          </w:p>
        </w:tc>
        <w:tc>
          <w:tcPr>
            <w:tcW w:w="742" w:type="dxa"/>
            <w:vAlign w:val="center"/>
          </w:tcPr>
          <w:p w14:paraId="2783A3A6">
            <w:pPr>
              <w:snapToGrid w:val="0"/>
              <w:spacing w:line="40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12</w:t>
            </w:r>
          </w:p>
        </w:tc>
        <w:tc>
          <w:tcPr>
            <w:tcW w:w="8497" w:type="dxa"/>
            <w:vAlign w:val="center"/>
          </w:tcPr>
          <w:p w14:paraId="094D63F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研究者对申办者提供的试验医疗器械和对照医疗器械（如适用）有管理责任，应当确保其仅用于参加该医疗器械临床试验的受试者，在临床试验期间按照要求储存和保管，在临床试验完成或者终止后按照相关法律法规和与申办者的合同进行处理。</w:t>
            </w:r>
          </w:p>
        </w:tc>
        <w:tc>
          <w:tcPr>
            <w:tcW w:w="5499" w:type="dxa"/>
            <w:vAlign w:val="center"/>
          </w:tcPr>
          <w:p w14:paraId="68206F5A">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《医疗器械临床试验质量管理规范》第二十九条。</w:t>
            </w:r>
          </w:p>
        </w:tc>
      </w:tr>
      <w:tr w14:paraId="4277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38" w:type="dxa"/>
            <w:vMerge w:val="continue"/>
            <w:vAlign w:val="center"/>
          </w:tcPr>
          <w:p w14:paraId="15451B94">
            <w:pPr>
              <w:snapToGrid w:val="0"/>
              <w:spacing w:line="400" w:lineRule="exact"/>
              <w:rPr>
                <w:rFonts w:hint="eastAsia" w:ascii="方正仿宋_GBK" w:hAnsi="方正仿宋_GBK" w:eastAsia="方正仿宋_GBK" w:cs="方正仿宋_GBK"/>
                <w:kern w:val="0"/>
                <w:sz w:val="18"/>
                <w:szCs w:val="18"/>
              </w:rPr>
            </w:pPr>
          </w:p>
        </w:tc>
        <w:tc>
          <w:tcPr>
            <w:tcW w:w="742" w:type="dxa"/>
            <w:vAlign w:val="center"/>
          </w:tcPr>
          <w:p w14:paraId="15AC8948">
            <w:pPr>
              <w:snapToGrid w:val="0"/>
              <w:spacing w:line="40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13</w:t>
            </w:r>
          </w:p>
        </w:tc>
        <w:tc>
          <w:tcPr>
            <w:tcW w:w="8497" w:type="dxa"/>
            <w:vAlign w:val="center"/>
          </w:tcPr>
          <w:p w14:paraId="31389068">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研究者应当确保医疗器械临床试验中生物样本的采集、处理、保存、运输、销毁等符合临床试验方案和相关法律法规。</w:t>
            </w:r>
          </w:p>
        </w:tc>
        <w:tc>
          <w:tcPr>
            <w:tcW w:w="5499" w:type="dxa"/>
            <w:vAlign w:val="center"/>
          </w:tcPr>
          <w:p w14:paraId="6C3A3D4B">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pacing w:val="-4"/>
                <w:sz w:val="18"/>
                <w:szCs w:val="18"/>
              </w:rPr>
            </w:pPr>
            <w:r>
              <w:rPr>
                <w:rFonts w:hint="eastAsia" w:ascii="方正仿宋_GBK" w:hAnsi="方正仿宋_GBK" w:eastAsia="方正仿宋_GBK" w:cs="方正仿宋_GBK"/>
                <w:kern w:val="0"/>
                <w:sz w:val="18"/>
                <w:szCs w:val="18"/>
              </w:rPr>
              <w:t>《医疗器械临床试验质量管理规范》第三十条。</w:t>
            </w:r>
          </w:p>
        </w:tc>
      </w:tr>
      <w:tr w14:paraId="43D1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38" w:type="dxa"/>
            <w:vMerge w:val="restart"/>
            <w:vAlign w:val="center"/>
          </w:tcPr>
          <w:p w14:paraId="71752A56">
            <w:pPr>
              <w:snapToGrid w:val="0"/>
              <w:spacing w:line="400" w:lineRule="exact"/>
              <w:jc w:val="center"/>
              <w:rPr>
                <w:rStyle w:val="34"/>
                <w:rFonts w:hint="eastAsia" w:ascii="方正仿宋_GBK" w:hAnsi="方正仿宋_GBK" w:eastAsia="方正仿宋_GBK" w:cs="方正仿宋_GBK"/>
                <w:b w:val="0"/>
                <w:kern w:val="0"/>
                <w:sz w:val="18"/>
                <w:szCs w:val="18"/>
              </w:rPr>
            </w:pPr>
            <w:r>
              <w:rPr>
                <w:rStyle w:val="34"/>
                <w:rFonts w:hint="eastAsia" w:ascii="方正仿宋_GBK" w:hAnsi="方正仿宋_GBK" w:eastAsia="方正仿宋_GBK" w:cs="方正仿宋_GBK"/>
                <w:b w:val="0"/>
                <w:kern w:val="0"/>
                <w:sz w:val="18"/>
                <w:szCs w:val="18"/>
              </w:rPr>
              <w:t>安全信息处理和</w:t>
            </w:r>
          </w:p>
          <w:p w14:paraId="495366FC">
            <w:pPr>
              <w:snapToGrid w:val="0"/>
              <w:spacing w:line="400" w:lineRule="exact"/>
              <w:jc w:val="center"/>
              <w:rPr>
                <w:rFonts w:hint="eastAsia" w:ascii="方正仿宋_GBK" w:hAnsi="方正仿宋_GBK" w:eastAsia="方正仿宋_GBK" w:cs="方正仿宋_GBK"/>
                <w:kern w:val="0"/>
                <w:sz w:val="18"/>
                <w:szCs w:val="18"/>
              </w:rPr>
            </w:pPr>
            <w:r>
              <w:rPr>
                <w:rStyle w:val="34"/>
                <w:rFonts w:hint="eastAsia" w:ascii="方正仿宋_GBK" w:hAnsi="方正仿宋_GBK" w:eastAsia="方正仿宋_GBK" w:cs="方正仿宋_GBK"/>
                <w:b w:val="0"/>
                <w:kern w:val="0"/>
                <w:sz w:val="18"/>
                <w:szCs w:val="18"/>
              </w:rPr>
              <w:t>报送</w:t>
            </w:r>
          </w:p>
        </w:tc>
        <w:tc>
          <w:tcPr>
            <w:tcW w:w="742" w:type="dxa"/>
            <w:vAlign w:val="center"/>
          </w:tcPr>
          <w:p w14:paraId="1D7D4262">
            <w:pPr>
              <w:snapToGrid w:val="0"/>
              <w:spacing w:line="40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14</w:t>
            </w:r>
          </w:p>
        </w:tc>
        <w:tc>
          <w:tcPr>
            <w:tcW w:w="8497" w:type="dxa"/>
            <w:vAlign w:val="center"/>
          </w:tcPr>
          <w:p w14:paraId="7389CE8D">
            <w:pPr>
              <w:snapToGrid w:val="0"/>
              <w:spacing w:line="400" w:lineRule="exact"/>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当发生不良事件、严重不良事件时，研究者应当为受试者提供足够、及时的治疗和处理。</w:t>
            </w:r>
          </w:p>
        </w:tc>
        <w:tc>
          <w:tcPr>
            <w:tcW w:w="5499" w:type="dxa"/>
            <w:vAlign w:val="center"/>
          </w:tcPr>
          <w:p w14:paraId="79D81000">
            <w:pPr>
              <w:snapToGrid w:val="0"/>
              <w:spacing w:line="400" w:lineRule="exact"/>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《医疗器械临床试验质量管理规范》第三十一条。</w:t>
            </w:r>
          </w:p>
        </w:tc>
      </w:tr>
      <w:tr w14:paraId="4473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38" w:type="dxa"/>
            <w:vMerge w:val="continue"/>
            <w:vAlign w:val="center"/>
          </w:tcPr>
          <w:p w14:paraId="59C2B9EB">
            <w:pPr>
              <w:snapToGrid w:val="0"/>
              <w:spacing w:line="400" w:lineRule="exact"/>
              <w:rPr>
                <w:rFonts w:hint="eastAsia" w:ascii="方正仿宋_GBK" w:hAnsi="方正仿宋_GBK" w:eastAsia="方正仿宋_GBK" w:cs="方正仿宋_GBK"/>
                <w:kern w:val="0"/>
                <w:sz w:val="18"/>
                <w:szCs w:val="18"/>
              </w:rPr>
            </w:pPr>
          </w:p>
        </w:tc>
        <w:tc>
          <w:tcPr>
            <w:tcW w:w="742" w:type="dxa"/>
            <w:vAlign w:val="center"/>
          </w:tcPr>
          <w:p w14:paraId="10A84425">
            <w:pPr>
              <w:snapToGrid w:val="0"/>
              <w:spacing w:line="40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15</w:t>
            </w:r>
          </w:p>
        </w:tc>
        <w:tc>
          <w:tcPr>
            <w:tcW w:w="8497" w:type="dxa"/>
            <w:vAlign w:val="center"/>
          </w:tcPr>
          <w:p w14:paraId="274C8A44">
            <w:pPr>
              <w:snapToGrid w:val="0"/>
              <w:spacing w:line="400" w:lineRule="exact"/>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研究者应当记录医疗器械临床试验过程中发生的不良事件、严重不良事件和发现的器械缺陷。</w:t>
            </w:r>
          </w:p>
        </w:tc>
        <w:tc>
          <w:tcPr>
            <w:tcW w:w="5499" w:type="dxa"/>
            <w:vAlign w:val="center"/>
          </w:tcPr>
          <w:p w14:paraId="3BBCCBD6">
            <w:pPr>
              <w:snapToGrid w:val="0"/>
              <w:spacing w:line="400" w:lineRule="exact"/>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《医疗器械临床试验质量管理规范》第三十一条。</w:t>
            </w:r>
          </w:p>
        </w:tc>
      </w:tr>
      <w:tr w14:paraId="2777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38" w:type="dxa"/>
            <w:vMerge w:val="continue"/>
            <w:vAlign w:val="center"/>
          </w:tcPr>
          <w:p w14:paraId="201CABD3">
            <w:pPr>
              <w:snapToGrid w:val="0"/>
              <w:spacing w:line="400" w:lineRule="exact"/>
              <w:rPr>
                <w:rFonts w:hint="eastAsia" w:ascii="方正仿宋_GBK" w:hAnsi="方正仿宋_GBK" w:eastAsia="方正仿宋_GBK" w:cs="方正仿宋_GBK"/>
                <w:kern w:val="0"/>
                <w:sz w:val="18"/>
                <w:szCs w:val="18"/>
              </w:rPr>
            </w:pPr>
          </w:p>
        </w:tc>
        <w:tc>
          <w:tcPr>
            <w:tcW w:w="742" w:type="dxa"/>
            <w:vAlign w:val="center"/>
          </w:tcPr>
          <w:p w14:paraId="59FDEE13">
            <w:pPr>
              <w:snapToGrid w:val="0"/>
              <w:spacing w:line="40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16</w:t>
            </w:r>
          </w:p>
        </w:tc>
        <w:tc>
          <w:tcPr>
            <w:tcW w:w="8497" w:type="dxa"/>
            <w:vAlign w:val="center"/>
          </w:tcPr>
          <w:p w14:paraId="7612BEF5">
            <w:pPr>
              <w:snapToGrid w:val="0"/>
              <w:spacing w:line="400" w:lineRule="exact"/>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研究者应当在获知严重不良事件后24小时内，向申办者、医疗器械临床试验机构管理部门、伦理委员会报告；并按照规定随访严重不良事件，提交随访及总结报告。</w:t>
            </w:r>
          </w:p>
        </w:tc>
        <w:tc>
          <w:tcPr>
            <w:tcW w:w="5499" w:type="dxa"/>
            <w:vAlign w:val="center"/>
          </w:tcPr>
          <w:p w14:paraId="236AD47E">
            <w:pPr>
              <w:snapToGrid w:val="0"/>
              <w:spacing w:line="400" w:lineRule="exact"/>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《医疗器械临床试验质量管理规范》第三十二条。</w:t>
            </w:r>
          </w:p>
        </w:tc>
      </w:tr>
      <w:tr w14:paraId="3D77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738" w:type="dxa"/>
            <w:vMerge w:val="continue"/>
            <w:vAlign w:val="center"/>
          </w:tcPr>
          <w:p w14:paraId="7B4C1EE7">
            <w:pPr>
              <w:snapToGrid w:val="0"/>
              <w:spacing w:line="400" w:lineRule="exact"/>
              <w:rPr>
                <w:rFonts w:hint="eastAsia" w:ascii="方正仿宋_GBK" w:hAnsi="方正仿宋_GBK" w:eastAsia="方正仿宋_GBK" w:cs="方正仿宋_GBK"/>
                <w:kern w:val="0"/>
                <w:sz w:val="18"/>
                <w:szCs w:val="18"/>
              </w:rPr>
            </w:pPr>
          </w:p>
        </w:tc>
        <w:tc>
          <w:tcPr>
            <w:tcW w:w="742" w:type="dxa"/>
            <w:vAlign w:val="center"/>
          </w:tcPr>
          <w:p w14:paraId="148E2EB3">
            <w:pPr>
              <w:snapToGrid w:val="0"/>
              <w:spacing w:line="40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17</w:t>
            </w:r>
          </w:p>
        </w:tc>
        <w:tc>
          <w:tcPr>
            <w:tcW w:w="8497" w:type="dxa"/>
            <w:vAlign w:val="center"/>
          </w:tcPr>
          <w:p w14:paraId="67E8C2F9">
            <w:pPr>
              <w:snapToGrid w:val="0"/>
              <w:spacing w:line="400" w:lineRule="exact"/>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主要研究者应当对收到的安全性信息及时处理：</w:t>
            </w:r>
          </w:p>
          <w:p w14:paraId="4CD0706E">
            <w:pPr>
              <w:snapToGrid w:val="0"/>
              <w:spacing w:line="400" w:lineRule="exact"/>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（一）收到申办者提供的试验医疗器械相关严重不良事件和其他安全性信息时，应当及时签收阅读，并考虑受试者的治疗是否进行相应调整，必要时尽早与受试者沟通；</w:t>
            </w:r>
          </w:p>
          <w:p w14:paraId="1FB4DDA3">
            <w:pPr>
              <w:snapToGrid w:val="0"/>
              <w:spacing w:line="400" w:lineRule="exact"/>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（二）收到申办者或者伦理委员会需要暂停或者终止医疗器械临床试验的通知时，应当及时通知受试者，并保证受试者得到适当治疗和随访。</w:t>
            </w:r>
          </w:p>
        </w:tc>
        <w:tc>
          <w:tcPr>
            <w:tcW w:w="5499" w:type="dxa"/>
            <w:vAlign w:val="center"/>
          </w:tcPr>
          <w:p w14:paraId="71019BC1">
            <w:pPr>
              <w:snapToGrid w:val="0"/>
              <w:spacing w:line="400" w:lineRule="exact"/>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《医疗器械临床试验质量管理规范》第三十三条。</w:t>
            </w:r>
          </w:p>
        </w:tc>
      </w:tr>
      <w:tr w14:paraId="67C2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38" w:type="dxa"/>
            <w:vMerge w:val="continue"/>
            <w:vAlign w:val="center"/>
          </w:tcPr>
          <w:p w14:paraId="7E9E4BA0">
            <w:pPr>
              <w:snapToGrid w:val="0"/>
              <w:spacing w:line="400" w:lineRule="exact"/>
              <w:rPr>
                <w:rFonts w:hint="eastAsia" w:ascii="方正仿宋_GBK" w:hAnsi="方正仿宋_GBK" w:eastAsia="方正仿宋_GBK" w:cs="方正仿宋_GBK"/>
                <w:kern w:val="0"/>
                <w:sz w:val="18"/>
                <w:szCs w:val="18"/>
              </w:rPr>
            </w:pPr>
          </w:p>
        </w:tc>
        <w:tc>
          <w:tcPr>
            <w:tcW w:w="742" w:type="dxa"/>
            <w:vAlign w:val="center"/>
          </w:tcPr>
          <w:p w14:paraId="62ED066E">
            <w:pPr>
              <w:snapToGrid w:val="0"/>
              <w:spacing w:line="40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18</w:t>
            </w:r>
          </w:p>
        </w:tc>
        <w:tc>
          <w:tcPr>
            <w:tcW w:w="8497" w:type="dxa"/>
            <w:vAlign w:val="center"/>
          </w:tcPr>
          <w:p w14:paraId="7EF10643">
            <w:pPr>
              <w:snapToGrid w:val="0"/>
              <w:spacing w:line="400" w:lineRule="exact"/>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主要研究者应当按要求向伦理委员会报告医疗器械临床试验的进展，及时报告影响受试者权益和安全的事件。</w:t>
            </w:r>
          </w:p>
        </w:tc>
        <w:tc>
          <w:tcPr>
            <w:tcW w:w="5499" w:type="dxa"/>
            <w:vAlign w:val="center"/>
          </w:tcPr>
          <w:p w14:paraId="638CC04D">
            <w:pPr>
              <w:snapToGrid w:val="0"/>
              <w:spacing w:line="400" w:lineRule="exact"/>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《医疗器械临床试验质量管理规范》第三十四条。</w:t>
            </w:r>
          </w:p>
        </w:tc>
      </w:tr>
    </w:tbl>
    <w:p w14:paraId="704F553F">
      <w:pPr>
        <w:rPr>
          <w:rFonts w:ascii="Times New Roman" w:hAnsi="Times New Roman"/>
        </w:rPr>
      </w:pPr>
    </w:p>
    <w:p w14:paraId="4A62501D">
      <w:pPr>
        <w:rPr>
          <w:rFonts w:ascii="Times New Roman" w:hAnsi="Times New Roman"/>
        </w:rPr>
      </w:pPr>
    </w:p>
    <w:p w14:paraId="5B893D84">
      <w:pPr>
        <w:rPr>
          <w:rFonts w:ascii="Times New Roman" w:hAnsi="Times New Roman"/>
        </w:rPr>
      </w:pPr>
    </w:p>
    <w:p w14:paraId="0307F4A9">
      <w:pPr>
        <w:rPr>
          <w:rFonts w:ascii="Times New Roman" w:hAnsi="Times New Roman"/>
        </w:rPr>
      </w:pPr>
    </w:p>
    <w:tbl>
      <w:tblPr>
        <w:tblStyle w:val="9"/>
        <w:tblW w:w="15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42"/>
        <w:gridCol w:w="8497"/>
        <w:gridCol w:w="5505"/>
      </w:tblGrid>
      <w:tr w14:paraId="0689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blHeader/>
          <w:jc w:val="center"/>
        </w:trPr>
        <w:tc>
          <w:tcPr>
            <w:tcW w:w="745" w:type="dxa"/>
            <w:vAlign w:val="center"/>
          </w:tcPr>
          <w:p w14:paraId="44B44BD4">
            <w:pPr>
              <w:widowControl/>
              <w:snapToGrid w:val="0"/>
              <w:spacing w:line="400" w:lineRule="exact"/>
              <w:jc w:val="center"/>
              <w:rPr>
                <w:rFonts w:eastAsia="方正黑体_GBK" w:cs="宋体"/>
                <w:kern w:val="0"/>
                <w:sz w:val="18"/>
                <w:szCs w:val="18"/>
              </w:rPr>
            </w:pPr>
            <w:r>
              <w:rPr>
                <w:rFonts w:hint="eastAsia" w:eastAsia="方正黑体_GBK" w:cs="宋体"/>
                <w:kern w:val="0"/>
                <w:sz w:val="18"/>
                <w:szCs w:val="18"/>
              </w:rPr>
              <w:t>表4</w:t>
            </w:r>
          </w:p>
        </w:tc>
        <w:tc>
          <w:tcPr>
            <w:tcW w:w="14744" w:type="dxa"/>
            <w:gridSpan w:val="3"/>
            <w:vAlign w:val="center"/>
          </w:tcPr>
          <w:p w14:paraId="62583509">
            <w:pPr>
              <w:widowControl/>
              <w:snapToGrid w:val="0"/>
              <w:spacing w:line="400" w:lineRule="exact"/>
              <w:jc w:val="center"/>
              <w:rPr>
                <w:rFonts w:eastAsia="方正黑体_GBK" w:cs="宋体"/>
                <w:kern w:val="0"/>
                <w:sz w:val="18"/>
                <w:szCs w:val="18"/>
              </w:rPr>
            </w:pPr>
            <w:r>
              <w:rPr>
                <w:rFonts w:hint="eastAsia" w:eastAsia="方正黑体_GBK" w:cs="宋体"/>
                <w:bCs/>
                <w:kern w:val="0"/>
                <w:sz w:val="18"/>
                <w:szCs w:val="18"/>
              </w:rPr>
              <w:t>药品上市许可持有人（药品生产企业）药品生产质量安全主体责任清单</w:t>
            </w:r>
          </w:p>
        </w:tc>
      </w:tr>
      <w:tr w14:paraId="6978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Header/>
          <w:jc w:val="center"/>
        </w:trPr>
        <w:tc>
          <w:tcPr>
            <w:tcW w:w="745" w:type="dxa"/>
            <w:vAlign w:val="center"/>
          </w:tcPr>
          <w:p w14:paraId="71A06D6A">
            <w:pPr>
              <w:widowControl/>
              <w:snapToGrid w:val="0"/>
              <w:spacing w:line="400" w:lineRule="exact"/>
              <w:jc w:val="center"/>
              <w:rPr>
                <w:rFonts w:eastAsia="方正黑体_GBK" w:cs="宋体"/>
                <w:kern w:val="0"/>
                <w:sz w:val="18"/>
                <w:szCs w:val="18"/>
              </w:rPr>
            </w:pPr>
            <w:r>
              <w:rPr>
                <w:rFonts w:hint="eastAsia" w:eastAsia="方正黑体_GBK" w:cs="宋体"/>
                <w:kern w:val="0"/>
                <w:sz w:val="18"/>
                <w:szCs w:val="18"/>
              </w:rPr>
              <w:t>分类</w:t>
            </w:r>
          </w:p>
        </w:tc>
        <w:tc>
          <w:tcPr>
            <w:tcW w:w="742" w:type="dxa"/>
            <w:vAlign w:val="center"/>
          </w:tcPr>
          <w:p w14:paraId="19530E6A">
            <w:pPr>
              <w:widowControl/>
              <w:snapToGrid w:val="0"/>
              <w:spacing w:line="400" w:lineRule="exact"/>
              <w:jc w:val="center"/>
              <w:rPr>
                <w:rFonts w:eastAsia="方正黑体_GBK" w:cs="宋体"/>
                <w:kern w:val="0"/>
                <w:sz w:val="18"/>
                <w:szCs w:val="18"/>
              </w:rPr>
            </w:pPr>
            <w:r>
              <w:rPr>
                <w:rFonts w:hint="eastAsia" w:eastAsia="方正黑体_GBK" w:cs="宋体"/>
                <w:kern w:val="0"/>
                <w:sz w:val="18"/>
                <w:szCs w:val="18"/>
              </w:rPr>
              <w:t>序号</w:t>
            </w:r>
          </w:p>
        </w:tc>
        <w:tc>
          <w:tcPr>
            <w:tcW w:w="8497" w:type="dxa"/>
            <w:vAlign w:val="center"/>
          </w:tcPr>
          <w:p w14:paraId="387C917D">
            <w:pPr>
              <w:widowControl/>
              <w:snapToGrid w:val="0"/>
              <w:spacing w:line="400" w:lineRule="exact"/>
              <w:jc w:val="center"/>
              <w:rPr>
                <w:rFonts w:eastAsia="方正黑体_GBK" w:cs="宋体"/>
                <w:kern w:val="0"/>
                <w:sz w:val="18"/>
                <w:szCs w:val="18"/>
              </w:rPr>
            </w:pPr>
            <w:r>
              <w:rPr>
                <w:rFonts w:hint="eastAsia" w:eastAsia="方正黑体_GBK" w:cs="宋体"/>
                <w:kern w:val="0"/>
                <w:sz w:val="18"/>
                <w:szCs w:val="18"/>
              </w:rPr>
              <w:t>主体责任</w:t>
            </w:r>
          </w:p>
        </w:tc>
        <w:tc>
          <w:tcPr>
            <w:tcW w:w="5505" w:type="dxa"/>
            <w:vAlign w:val="center"/>
          </w:tcPr>
          <w:p w14:paraId="2FEA418C">
            <w:pPr>
              <w:widowControl/>
              <w:snapToGrid w:val="0"/>
              <w:spacing w:line="400" w:lineRule="exact"/>
              <w:jc w:val="center"/>
              <w:rPr>
                <w:rFonts w:eastAsia="方正黑体_GBK" w:cs="宋体"/>
                <w:kern w:val="0"/>
                <w:sz w:val="18"/>
                <w:szCs w:val="18"/>
              </w:rPr>
            </w:pPr>
            <w:r>
              <w:rPr>
                <w:rFonts w:hint="eastAsia" w:eastAsia="方正黑体_GBK" w:cs="宋体"/>
                <w:kern w:val="0"/>
                <w:sz w:val="18"/>
                <w:szCs w:val="18"/>
              </w:rPr>
              <w:t>责任依据</w:t>
            </w:r>
          </w:p>
        </w:tc>
      </w:tr>
      <w:tr w14:paraId="7E9B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745" w:type="dxa"/>
            <w:vMerge w:val="restart"/>
            <w:vAlign w:val="center"/>
          </w:tcPr>
          <w:p w14:paraId="56303BE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资质许可</w:t>
            </w:r>
          </w:p>
        </w:tc>
        <w:tc>
          <w:tcPr>
            <w:tcW w:w="742" w:type="dxa"/>
            <w:vAlign w:val="center"/>
          </w:tcPr>
          <w:p w14:paraId="55C6023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w:t>
            </w:r>
          </w:p>
        </w:tc>
        <w:tc>
          <w:tcPr>
            <w:tcW w:w="8497" w:type="dxa"/>
            <w:vAlign w:val="center"/>
          </w:tcPr>
          <w:p w14:paraId="67EB587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从事药品生产活动，应当经所在地省、自治区、直辖市人民政府药品监督管理部门批准，取得药品生产许可证。有依法经过资格认定的人员，与药品生产相适应的厂房、设施和卫生环境，有能对所生产药品进行质量管理和质量检验的机构、人员及必要的仪器设备，有保证药品质量的规章制度并符合GMP要求。</w:t>
            </w:r>
          </w:p>
          <w:p w14:paraId="3281850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从事麻醉药品、精神药品生产的企业，应当经所在地省、自治区、直辖市人民政府药品监督管理部门批准。</w:t>
            </w:r>
          </w:p>
        </w:tc>
        <w:tc>
          <w:tcPr>
            <w:tcW w:w="5505" w:type="dxa"/>
            <w:vAlign w:val="center"/>
          </w:tcPr>
          <w:p w14:paraId="56B57A5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《中华人民共和国药品管理法》第四十一条第一款、第四十二条；《药品生产监督管理办法》第三条、第六条、第七条第一款；《麻醉药品和精神药品管理条例》第十六条。</w:t>
            </w:r>
          </w:p>
        </w:tc>
      </w:tr>
      <w:tr w14:paraId="3EA0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45" w:type="dxa"/>
            <w:vMerge w:val="continue"/>
            <w:vAlign w:val="center"/>
          </w:tcPr>
          <w:p w14:paraId="2D34733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42D8563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w:t>
            </w:r>
          </w:p>
        </w:tc>
        <w:tc>
          <w:tcPr>
            <w:tcW w:w="8497" w:type="dxa"/>
            <w:vAlign w:val="center"/>
          </w:tcPr>
          <w:p w14:paraId="45BB714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从事药品生产活动，应当遵守法律法规、规章、标准和规范，保证全过程信息真实、准确、完整和可追溯；依法对药品的安全性、有效性和质量可控性负责遵守药品生产质量管理规范，建立健全药品生产质量管理体系，保证药品生产全过程持续符合法定要求。在中国境内上市的药品，应当经国务院药品监督管理部门批准，取得药品注册证书。</w:t>
            </w:r>
          </w:p>
        </w:tc>
        <w:tc>
          <w:tcPr>
            <w:tcW w:w="5505" w:type="dxa"/>
            <w:vAlign w:val="center"/>
          </w:tcPr>
          <w:p w14:paraId="3B35B15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《中华人民共和国药品管理法》第六条、第七条、第二十四条、第四十三条第一款；《药品生产监督管理办法》第二十六条。</w:t>
            </w:r>
          </w:p>
        </w:tc>
      </w:tr>
      <w:tr w14:paraId="3223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745" w:type="dxa"/>
            <w:vMerge w:val="continue"/>
            <w:vAlign w:val="center"/>
          </w:tcPr>
          <w:p w14:paraId="4C8B7D4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6D4ED58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w:t>
            </w:r>
          </w:p>
        </w:tc>
        <w:tc>
          <w:tcPr>
            <w:tcW w:w="8497" w:type="dxa"/>
            <w:vAlign w:val="center"/>
          </w:tcPr>
          <w:p w14:paraId="1D50664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从事制剂、原料药生产活动，申请人应当按照申报资料要求向所在地省、自治区、直辖市药品监督管理部门提出申请。</w:t>
            </w:r>
          </w:p>
          <w:p w14:paraId="67F5818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pacing w:val="-6"/>
                <w:kern w:val="0"/>
                <w:sz w:val="18"/>
                <w:szCs w:val="18"/>
              </w:rPr>
            </w:pPr>
            <w:r>
              <w:rPr>
                <w:rFonts w:hint="eastAsia" w:ascii="方正仿宋_GBK" w:hAnsi="方正仿宋_GBK" w:eastAsia="方正仿宋_GBK" w:cs="方正仿宋_GBK"/>
                <w:kern w:val="0"/>
                <w:sz w:val="18"/>
                <w:szCs w:val="18"/>
              </w:rPr>
              <w:t>委托他人生产制剂的药品上市许可持有人，应当具备相关条件，并与符合条件的药品生产企业签订委托协议和质量协议将相关协议和实际生产场地申请资料合并提交至药品上市许</w:t>
            </w:r>
            <w:r>
              <w:rPr>
                <w:rFonts w:hint="eastAsia" w:ascii="方正仿宋_GBK" w:hAnsi="方正仿宋_GBK" w:eastAsia="方正仿宋_GBK" w:cs="方正仿宋_GBK"/>
                <w:spacing w:val="-6"/>
                <w:kern w:val="0"/>
                <w:sz w:val="18"/>
                <w:szCs w:val="18"/>
              </w:rPr>
              <w:t>可持有人所在地省、自治区、直辖市药品监督管理部门，按照规定申请办理药品生产许可证。</w:t>
            </w:r>
          </w:p>
          <w:p w14:paraId="047A79A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申请人应当对其申请材料全部内容的真实性负责。</w:t>
            </w:r>
          </w:p>
        </w:tc>
        <w:tc>
          <w:tcPr>
            <w:tcW w:w="5505" w:type="dxa"/>
            <w:vAlign w:val="center"/>
          </w:tcPr>
          <w:p w14:paraId="73B686E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《中华人民共和国药品管理法》第四十一条第一款；《药品生产监督管理办法》第七条。</w:t>
            </w:r>
          </w:p>
        </w:tc>
      </w:tr>
      <w:tr w14:paraId="0D2B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45" w:type="dxa"/>
            <w:vMerge w:val="continue"/>
            <w:vAlign w:val="center"/>
          </w:tcPr>
          <w:p w14:paraId="077BD9F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0EBA5E2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w:t>
            </w:r>
          </w:p>
        </w:tc>
        <w:tc>
          <w:tcPr>
            <w:tcW w:w="8497" w:type="dxa"/>
            <w:vAlign w:val="center"/>
          </w:tcPr>
          <w:p w14:paraId="0BC651A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药品生产许可证有效期届满，需要继续生产药品的，应当在有效期届满前六个月，向原发证机关申请重新发放药品生产许可证。</w:t>
            </w:r>
          </w:p>
        </w:tc>
        <w:tc>
          <w:tcPr>
            <w:tcW w:w="5505" w:type="dxa"/>
            <w:vAlign w:val="center"/>
          </w:tcPr>
          <w:p w14:paraId="037B595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《中华人民共和国药品管理法》第四十一条第二款；《药品生产监督管理办法》第十九条第一款。</w:t>
            </w:r>
          </w:p>
        </w:tc>
      </w:tr>
      <w:tr w14:paraId="2B07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745" w:type="dxa"/>
            <w:vMerge w:val="restart"/>
            <w:vAlign w:val="center"/>
          </w:tcPr>
          <w:p w14:paraId="7CE2182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资质许可</w:t>
            </w:r>
          </w:p>
        </w:tc>
        <w:tc>
          <w:tcPr>
            <w:tcW w:w="742" w:type="dxa"/>
            <w:vAlign w:val="center"/>
          </w:tcPr>
          <w:p w14:paraId="7F1DAF5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w:t>
            </w:r>
          </w:p>
        </w:tc>
        <w:tc>
          <w:tcPr>
            <w:tcW w:w="8497" w:type="dxa"/>
            <w:vAlign w:val="center"/>
          </w:tcPr>
          <w:p w14:paraId="70897DB2">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变更药品生产许可证许可事项的，向原发证机关提出药品生产许可证变更申请。变更生产地址或者生产范围，应当按照相关规定及相关变更技术要求，提交涉及变更内容的有关材</w:t>
            </w:r>
            <w:r>
              <w:rPr>
                <w:rFonts w:hint="eastAsia" w:ascii="方正仿宋_GBK" w:hAnsi="方正仿宋_GBK" w:eastAsia="方正仿宋_GBK" w:cs="方正仿宋_GBK"/>
                <w:spacing w:val="-2"/>
                <w:kern w:val="0"/>
                <w:sz w:val="18"/>
                <w:szCs w:val="18"/>
              </w:rPr>
              <w:t>料，并报经所在地省、自治区、直辖市药品监督管理部门审查决定。原址或者异地新建、改建、扩建车间或者生产线的应当符合相关规定和技术要求，提交涉及变更内容的有关材料，并报经所在地省、自治区、直辖市药品监督管理部门进行药品生产质量管理规范符合性检查。</w:t>
            </w:r>
          </w:p>
        </w:tc>
        <w:tc>
          <w:tcPr>
            <w:tcW w:w="5505" w:type="dxa"/>
            <w:vAlign w:val="center"/>
          </w:tcPr>
          <w:p w14:paraId="3E9515A4">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《中华人民共和国药品管理法》第七十九条；《药品生产监督管理办法》第十六条。</w:t>
            </w:r>
          </w:p>
        </w:tc>
      </w:tr>
      <w:tr w14:paraId="50F5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745" w:type="dxa"/>
            <w:vMerge w:val="continue"/>
            <w:vAlign w:val="center"/>
          </w:tcPr>
          <w:p w14:paraId="78AF680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59EC2A4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w:t>
            </w:r>
          </w:p>
        </w:tc>
        <w:tc>
          <w:tcPr>
            <w:tcW w:w="8497" w:type="dxa"/>
            <w:vAlign w:val="center"/>
          </w:tcPr>
          <w:p w14:paraId="74EDDB56">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变更药品生产许可证登记事项的，应当在市场监督管理部门核准变更或者企业完成变更后三十日内，向原发证机关申请药品生产许可证变更登记。质量管理体系相关的组织机构、企业负责人、生产负责人、质量负责人、质量受权人发生变更的，应当自发生变更之日起三十日内，完成登记手续。</w:t>
            </w:r>
          </w:p>
        </w:tc>
        <w:tc>
          <w:tcPr>
            <w:tcW w:w="5505" w:type="dxa"/>
            <w:vAlign w:val="center"/>
          </w:tcPr>
          <w:p w14:paraId="7C920126">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《中华人民共和国药品管理法》第七十九条；《药品生产监督管理办法》第十七条、第四十五条。</w:t>
            </w:r>
          </w:p>
        </w:tc>
      </w:tr>
      <w:tr w14:paraId="504E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45" w:type="dxa"/>
            <w:vMerge w:val="restart"/>
            <w:vAlign w:val="center"/>
          </w:tcPr>
          <w:p w14:paraId="2F41D2C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人员管理</w:t>
            </w:r>
          </w:p>
        </w:tc>
        <w:tc>
          <w:tcPr>
            <w:tcW w:w="742" w:type="dxa"/>
            <w:vAlign w:val="center"/>
          </w:tcPr>
          <w:p w14:paraId="284565F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w:t>
            </w:r>
          </w:p>
        </w:tc>
        <w:tc>
          <w:tcPr>
            <w:tcW w:w="8497" w:type="dxa"/>
            <w:vAlign w:val="center"/>
          </w:tcPr>
          <w:p w14:paraId="19882CB7">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持有人应当设立职责清晰的管理部门，配备与药品生产规模相适应的管理人员，明确生产、上市后研究、不良反应监测及报告等职责，并符合相关质量管理规范的要求。</w:t>
            </w:r>
          </w:p>
        </w:tc>
        <w:tc>
          <w:tcPr>
            <w:tcW w:w="5505" w:type="dxa"/>
            <w:vAlign w:val="center"/>
          </w:tcPr>
          <w:p w14:paraId="40F8EC50">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《中华人民共和国药品管理法》第四十二条、七十七条、八十一条；《药品上市许可持有人落实药品质量安全主体责任监督管理规定》第四条。</w:t>
            </w:r>
          </w:p>
        </w:tc>
      </w:tr>
      <w:tr w14:paraId="467A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745" w:type="dxa"/>
            <w:vMerge w:val="continue"/>
            <w:vAlign w:val="center"/>
          </w:tcPr>
          <w:p w14:paraId="5A50D12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1FDED6E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8</w:t>
            </w:r>
          </w:p>
        </w:tc>
        <w:tc>
          <w:tcPr>
            <w:tcW w:w="8497" w:type="dxa"/>
            <w:vAlign w:val="center"/>
          </w:tcPr>
          <w:p w14:paraId="64356FFD">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上市许可持有人的法定代表人、企业负责人（主要负责人）应当对药品质量全面负责，企业负责人全面负责企业日常管理，落实全过程质量管理主体责任，履行以下职责：（一）配备专门质量负责人独立负责药品质量管理；（二）配备专门质量受权人独立履行药品上市放行责任；（三）监督质量管理体系正常运行；（四）对药品生产企业、供应商等相关方与药品生产相关的活动定期开展质量体系审核，保证持续合规；（五）按照变更技术要求，履行变更管理责任；（六）对委托经营企业进行质量评估，与使用单位等进行信息沟通；（七）配合药品监督管理部门对药品上市许可持有人及相关方的延伸检查；（八）发生与药品质量有关的重大安全事件，应当及时报告并按持有人制定的风险管理计划开展风险处置，确保风险得到及时控制；（九）其他法律法规规定的责任。</w:t>
            </w:r>
          </w:p>
        </w:tc>
        <w:tc>
          <w:tcPr>
            <w:tcW w:w="5505" w:type="dxa"/>
            <w:vAlign w:val="center"/>
          </w:tcPr>
          <w:p w14:paraId="46D9774C">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《中华人民共和国药品管理法》第三十条第二款；《药品生产监督管理办法》第二十八条；《药品上市许可持有人落实药品质量安全主体责任监督管理规定》第六条。</w:t>
            </w:r>
          </w:p>
        </w:tc>
      </w:tr>
      <w:tr w14:paraId="580D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745" w:type="dxa"/>
            <w:vMerge w:val="restart"/>
            <w:vAlign w:val="center"/>
          </w:tcPr>
          <w:p w14:paraId="0C1ACDA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人员管理</w:t>
            </w:r>
          </w:p>
        </w:tc>
        <w:tc>
          <w:tcPr>
            <w:tcW w:w="742" w:type="dxa"/>
            <w:vAlign w:val="center"/>
          </w:tcPr>
          <w:p w14:paraId="06AB960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9</w:t>
            </w:r>
          </w:p>
        </w:tc>
        <w:tc>
          <w:tcPr>
            <w:tcW w:w="8497" w:type="dxa"/>
            <w:vAlign w:val="center"/>
          </w:tcPr>
          <w:p w14:paraId="0FF533A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疫苗上市许可持有人的法定代表人、企业负责人（主要负责人）应当具有良好的信用记录，生产管理负责人、质量管理负责人、质量受权人等关键岗位人员应当具有相关专业背景和从业经历。疫苗上市许可持有人应当自发生变更之日起十五日内，向所在地省、自治区、直辖市药品监督管理部门报告生产负责人、质量负责人、质量受权人等关键岗位人员的变更情况。</w:t>
            </w:r>
          </w:p>
        </w:tc>
        <w:tc>
          <w:tcPr>
            <w:tcW w:w="5505" w:type="dxa"/>
            <w:vAlign w:val="center"/>
          </w:tcPr>
          <w:p w14:paraId="7184EC0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《中华人民共和国疫苗管理法》第二十三条；《药品生产监督管理办法》第四十五条第二款。</w:t>
            </w:r>
          </w:p>
        </w:tc>
      </w:tr>
      <w:tr w14:paraId="730E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745" w:type="dxa"/>
            <w:vMerge w:val="continue"/>
            <w:vAlign w:val="center"/>
          </w:tcPr>
          <w:p w14:paraId="1803A22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B1AD5C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10</w:t>
            </w:r>
          </w:p>
        </w:tc>
        <w:tc>
          <w:tcPr>
            <w:tcW w:w="8497" w:type="dxa"/>
            <w:vAlign w:val="center"/>
          </w:tcPr>
          <w:p w14:paraId="5614AEC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生产企业的法定代表人、企业负责人（主要负责人）应当对本企业的药品生产活动全面负责，履行以下职责：（一）配备专门质量负责人独立负责药品质量管理，监督质量管理规范执行，确保适当的生产过程控制和质量控制，保证药品符合国家药品标准和药品注册标准；（二）配备专门质量受权人履行药品出厂放行责任；（三）监督质量管理体系正常运行，保证药品生产过程控制质量控制以及记录和数据真实性；（四）发生与药品质量有关的重大安全事件，应当及时报告并按企业制定的风险管理计划开展风险处置，确保风险得到及时控制；（五）其他法律法规规定的责任。</w:t>
            </w:r>
          </w:p>
        </w:tc>
        <w:tc>
          <w:tcPr>
            <w:tcW w:w="5505" w:type="dxa"/>
            <w:vAlign w:val="center"/>
          </w:tcPr>
          <w:p w14:paraId="5169AB7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《中华人民共和国药品管理法》第四十三条第二款；《药品生产监督管理办法》第二十九条。</w:t>
            </w:r>
          </w:p>
        </w:tc>
      </w:tr>
      <w:tr w14:paraId="7A06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745" w:type="dxa"/>
            <w:vMerge w:val="continue"/>
            <w:vAlign w:val="center"/>
          </w:tcPr>
          <w:p w14:paraId="316BF06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B15026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11</w:t>
            </w:r>
          </w:p>
        </w:tc>
        <w:tc>
          <w:tcPr>
            <w:tcW w:w="8497" w:type="dxa"/>
            <w:vAlign w:val="center"/>
          </w:tcPr>
          <w:p w14:paraId="4B8BE77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包括药品生产企业）的企业负责人（主要负责人）、生产管理负责人质量管理负责人、质量受权人等关键岗位人员应当为企业全职人员，并符合相关质量管理规范及《药品上市许可持有人落实药品质量安全主体责任监督管理规定》有关要求。质量管理负责人和生产管理负责人不得互相兼任。针对具体药品品种的生产和质量管理，持有人应当明确其直接负责的主管人员和其他责任人员。</w:t>
            </w:r>
          </w:p>
        </w:tc>
        <w:tc>
          <w:tcPr>
            <w:tcW w:w="5505" w:type="dxa"/>
            <w:vAlign w:val="center"/>
          </w:tcPr>
          <w:p w14:paraId="5A6292F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《中华人民共和国药品管理法》第四十二条、第四十三条；《药品上市许可持有人落实药品质量安全主体责任监督管理规定》第五条。</w:t>
            </w:r>
          </w:p>
        </w:tc>
      </w:tr>
      <w:tr w14:paraId="0B6F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745" w:type="dxa"/>
            <w:vMerge w:val="restart"/>
            <w:vAlign w:val="center"/>
          </w:tcPr>
          <w:p w14:paraId="383673C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人员管理</w:t>
            </w:r>
          </w:p>
        </w:tc>
        <w:tc>
          <w:tcPr>
            <w:tcW w:w="742" w:type="dxa"/>
            <w:vAlign w:val="center"/>
          </w:tcPr>
          <w:p w14:paraId="32F35D0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12</w:t>
            </w:r>
          </w:p>
        </w:tc>
        <w:tc>
          <w:tcPr>
            <w:tcW w:w="8497" w:type="dxa"/>
            <w:vAlign w:val="center"/>
          </w:tcPr>
          <w:p w14:paraId="134FE4BF">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生产负责人主要负责药品生产管理，确保药品按照批准的工艺规程组织生产、贮存；确保厂房和设施设备良好运行，完成必要的验证工作，保证药品生产质量；确保生产管理培训制度有效运行，对药品生产管理所有人员开展培训和考核。生产负责人应当具有：药学或者相关专业背景，本科及以上学历或者中级以上专业技术职称或者执业药师资格，三年以上从事药品生产和质量管理的实践经验，其中至少有一年的药品生产管理经验，熟悉药品生产管理相关法律法规和规章制度。</w:t>
            </w:r>
          </w:p>
        </w:tc>
        <w:tc>
          <w:tcPr>
            <w:tcW w:w="5505" w:type="dxa"/>
            <w:vAlign w:val="center"/>
          </w:tcPr>
          <w:p w14:paraId="46176871">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《中华人民共和国药品管理法》第四十四条；《药品上市许可持有人落实药品质量安全主体责任监督管理规定》第七条。</w:t>
            </w:r>
          </w:p>
        </w:tc>
      </w:tr>
      <w:tr w14:paraId="796E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745" w:type="dxa"/>
            <w:vMerge w:val="continue"/>
            <w:vAlign w:val="center"/>
          </w:tcPr>
          <w:p w14:paraId="1E8D327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1D64FAE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13</w:t>
            </w:r>
          </w:p>
        </w:tc>
        <w:tc>
          <w:tcPr>
            <w:tcW w:w="8497" w:type="dxa"/>
            <w:vAlign w:val="center"/>
          </w:tcPr>
          <w:p w14:paraId="388867E4">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质量负责人负责药品质量管理，建立质量控制和质量保证体系，监督相关质量管理规范执行，确保质量管理体系有效运行；确保生产过程控制和药品质量控制符合相关法规要求、标准要求；确保药品生产、检验等数据和记录真实、准确、完整和可追溯；确保质量管理培训制度有效运行，对药品质量管理所有人员开展培训和考核。质量负责人应当具有：药学或者相关专业背景，本科及以上学历或者中级以上专业技术职称或者执业药师资格，五年以上从事药品生产和质量管理的实践经验，其中至少一年的药品质量管理经验，熟悉药品质量管理相关法律法规和规章制度。</w:t>
            </w:r>
          </w:p>
        </w:tc>
        <w:tc>
          <w:tcPr>
            <w:tcW w:w="5505" w:type="dxa"/>
            <w:vAlign w:val="center"/>
          </w:tcPr>
          <w:p w14:paraId="099C8BED">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《中华人民共和国药品管理法》第三十一条；《药品上市许可持有人落实药品质量安全主体责任监督管理规定》第八条。</w:t>
            </w:r>
          </w:p>
        </w:tc>
      </w:tr>
      <w:tr w14:paraId="19FD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745" w:type="dxa"/>
            <w:vMerge w:val="continue"/>
            <w:vAlign w:val="center"/>
          </w:tcPr>
          <w:p w14:paraId="44DD2C4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109EDE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14</w:t>
            </w:r>
          </w:p>
        </w:tc>
        <w:tc>
          <w:tcPr>
            <w:tcW w:w="8497" w:type="dxa"/>
            <w:vAlign w:val="center"/>
          </w:tcPr>
          <w:p w14:paraId="706940F0">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质量受权人独立履行药品放行职责，确保每批已放行药品的生产、检验均符合相关法规、药品注册管理要求和质量标准。未经质量受权人签字同意，产品不得放行。质量受权人应当具有：药学或者相关专业背景，本科及以上学历或者中级以上专业技术职称或者执业药师资格，五年以上从事药品生产和质量管理的实践经验，从事过药品生产过程控制和质量检验工作，熟悉药品监督管理相关法律法规和规章制度。</w:t>
            </w:r>
          </w:p>
          <w:p w14:paraId="5F8AC0CD">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可以依据企业规模设置多个质量受权人，覆盖企业所有产品的放行职责。各质量受权人应当分工明确、不得交叉。质量受权人因故不在岗时，经企业法定代表人或者企业负责人批准后，可以将其职责临时转授其他质量受权人或者具有相关资质的人员，并以书面形式规定转授权范围、事项及时限。转授权期间，原质量受权人仍须承担相应责任。</w:t>
            </w:r>
          </w:p>
        </w:tc>
        <w:tc>
          <w:tcPr>
            <w:tcW w:w="5505" w:type="dxa"/>
            <w:vAlign w:val="center"/>
          </w:tcPr>
          <w:p w14:paraId="356920E5">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《中华人民共和国药品管理法》第三十三条；《药品上市许可持有人落实药品质量安全主体责任监督管理规定》第九条。</w:t>
            </w:r>
          </w:p>
        </w:tc>
      </w:tr>
      <w:tr w14:paraId="7D8C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745" w:type="dxa"/>
            <w:vMerge w:val="restart"/>
            <w:vAlign w:val="center"/>
          </w:tcPr>
          <w:p w14:paraId="0F593DF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人员管理</w:t>
            </w:r>
          </w:p>
        </w:tc>
        <w:tc>
          <w:tcPr>
            <w:tcW w:w="742" w:type="dxa"/>
            <w:vAlign w:val="center"/>
          </w:tcPr>
          <w:p w14:paraId="54F2F9A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15</w:t>
            </w:r>
          </w:p>
        </w:tc>
        <w:tc>
          <w:tcPr>
            <w:tcW w:w="8497" w:type="dxa"/>
            <w:vAlign w:val="center"/>
          </w:tcPr>
          <w:p w14:paraId="0650665B">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药物警戒负责人负责药物警戒体系的建立、运行和持续改进，确保药物警戒体系符合相关法律法规和药物警戒质量管理规范的要求。</w:t>
            </w:r>
          </w:p>
          <w:p w14:paraId="173CE8F1">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物警戒负责人应当是具备一定职务的管理人员，应当具有：医学、药学、流行病学或者相关专业背景，本科及以上学历或者中级及以上专业技术职称，三年以上从事药物警戒相关工作经历，熟悉我国药物警戒相关法律法规和技术指导原则，具备药物警戒管理工作的知识和技能。</w:t>
            </w:r>
          </w:p>
        </w:tc>
        <w:tc>
          <w:tcPr>
            <w:tcW w:w="5505" w:type="dxa"/>
            <w:vAlign w:val="center"/>
          </w:tcPr>
          <w:p w14:paraId="14AFA319">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《中华人民共和国药品管理法》第八十条；《药品上市许可持有人落实药品质量安全主体责任监督管理规定》第十条。</w:t>
            </w:r>
          </w:p>
        </w:tc>
      </w:tr>
      <w:tr w14:paraId="322B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45" w:type="dxa"/>
            <w:vMerge w:val="continue"/>
            <w:vAlign w:val="center"/>
          </w:tcPr>
          <w:p w14:paraId="7F83E15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6CFFA0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16</w:t>
            </w:r>
          </w:p>
        </w:tc>
        <w:tc>
          <w:tcPr>
            <w:tcW w:w="8497" w:type="dxa"/>
            <w:vAlign w:val="center"/>
          </w:tcPr>
          <w:p w14:paraId="520725C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直接接触药品的工作人员应每年进行健康检查并建立健康档案。患有传染病或者其他可能污染药品的疾病的工作人员不得从事直接接触药品工作。</w:t>
            </w:r>
          </w:p>
        </w:tc>
        <w:tc>
          <w:tcPr>
            <w:tcW w:w="5505" w:type="dxa"/>
            <w:vAlign w:val="center"/>
          </w:tcPr>
          <w:p w14:paraId="1FEAB1F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《中华人民共和国药品管理法》第五十条；《药品生产监督管理办法》第三十条。</w:t>
            </w:r>
          </w:p>
        </w:tc>
      </w:tr>
      <w:tr w14:paraId="3D7D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45" w:type="dxa"/>
            <w:vMerge w:val="continue"/>
            <w:vAlign w:val="center"/>
          </w:tcPr>
          <w:p w14:paraId="4991F96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0E7B057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17</w:t>
            </w:r>
          </w:p>
        </w:tc>
        <w:tc>
          <w:tcPr>
            <w:tcW w:w="8497" w:type="dxa"/>
            <w:vAlign w:val="center"/>
          </w:tcPr>
          <w:p w14:paraId="44FFF9A4">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应当建立培训管理制度，制定培训方案或者计划，对从事药品生产管理、质量管理、销售管理、药物警戒、上市后研究的所有人员开展上岗前培训和继续培训。培训内容至少包括相关法规、相应岗位职责和技能等。持有人应当保存培训记录，并定期评估培训效果。</w:t>
            </w:r>
          </w:p>
        </w:tc>
        <w:tc>
          <w:tcPr>
            <w:tcW w:w="5505" w:type="dxa"/>
            <w:vAlign w:val="center"/>
          </w:tcPr>
          <w:p w14:paraId="484F73FB">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《中华人民共和国药品管理法》第四十二条；《药品上市许可持有人落实药品质量安全主体责任监督管理规定》第二十九条。</w:t>
            </w:r>
          </w:p>
        </w:tc>
      </w:tr>
      <w:tr w14:paraId="2612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745" w:type="dxa"/>
            <w:vMerge w:val="restart"/>
            <w:vAlign w:val="center"/>
          </w:tcPr>
          <w:p w14:paraId="4F48A33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生产过程管理</w:t>
            </w:r>
          </w:p>
        </w:tc>
        <w:tc>
          <w:tcPr>
            <w:tcW w:w="742" w:type="dxa"/>
            <w:vAlign w:val="center"/>
          </w:tcPr>
          <w:p w14:paraId="20C6FFE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18</w:t>
            </w:r>
          </w:p>
        </w:tc>
        <w:tc>
          <w:tcPr>
            <w:tcW w:w="8497" w:type="dxa"/>
            <w:vAlign w:val="center"/>
          </w:tcPr>
          <w:p w14:paraId="59C16C30">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从事药品生产活动，应当遵守药品生产质量管理规范，按照国家药品标准、经药品监督管理部门核准的药品注册标准和生产工艺进行生产，按照规定提交并持续更新场地管理文件，对质量体系运行过程进行风险评估和持续改进，保证药品生产全过程持续符合法定要求。生产、检验等记录应当完整准确，不得编造和篡改。</w:t>
            </w:r>
          </w:p>
        </w:tc>
        <w:tc>
          <w:tcPr>
            <w:tcW w:w="5505" w:type="dxa"/>
            <w:vAlign w:val="center"/>
          </w:tcPr>
          <w:p w14:paraId="649F735F">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《中华人民共和国药品管理法》第四十四条第一款；《药品生产监督管理办法》第二十四条；《药品上市许可持有人落实药品质量安全主体责任监督管理规定》第十一条、十二条。</w:t>
            </w:r>
          </w:p>
        </w:tc>
      </w:tr>
      <w:tr w14:paraId="0FC8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745" w:type="dxa"/>
            <w:vMerge w:val="continue"/>
            <w:vAlign w:val="center"/>
          </w:tcPr>
          <w:p w14:paraId="5F3E3AE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4358E10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19</w:t>
            </w:r>
          </w:p>
        </w:tc>
        <w:tc>
          <w:tcPr>
            <w:tcW w:w="8497" w:type="dxa"/>
            <w:vAlign w:val="center"/>
          </w:tcPr>
          <w:p w14:paraId="1412A592">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从事药品生产活动，应当对使用的原料药、辅料、直接接触药品的包装材料和容器等相关物料供应商或者生产企业进行审核，保证购进、使用符合法规要求。生产药品所需的原料、辅料，应当符合药用要求以及相应的生产质量管理规范的有关要求。直接接触药品的包装材料和容器，应当符合药用要求，符合保障人体健康、安全的标准。</w:t>
            </w:r>
          </w:p>
        </w:tc>
        <w:tc>
          <w:tcPr>
            <w:tcW w:w="5505" w:type="dxa"/>
            <w:vAlign w:val="center"/>
          </w:tcPr>
          <w:p w14:paraId="75527A37">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《中华人民共和国药品管理法》第四十五条、第四十六条第一款；《药品生产监督管理办法》第三十二条；《药品上市许可持有人落实药品质量安全主体责任监督管理规定》第十三条。</w:t>
            </w:r>
          </w:p>
        </w:tc>
      </w:tr>
      <w:tr w14:paraId="0881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45" w:type="dxa"/>
            <w:vMerge w:val="restart"/>
            <w:vAlign w:val="center"/>
          </w:tcPr>
          <w:p w14:paraId="7B8D123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生产过程管理</w:t>
            </w:r>
          </w:p>
        </w:tc>
        <w:tc>
          <w:tcPr>
            <w:tcW w:w="742" w:type="dxa"/>
            <w:vAlign w:val="center"/>
          </w:tcPr>
          <w:p w14:paraId="4306320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20</w:t>
            </w:r>
          </w:p>
        </w:tc>
        <w:tc>
          <w:tcPr>
            <w:tcW w:w="8497" w:type="dxa"/>
            <w:vAlign w:val="center"/>
          </w:tcPr>
          <w:p w14:paraId="01B051B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应当确定需进行的确认与验证，按照确认与验证计划实施。定期对设施、设备、生产工艺及清洁方法进行评估，确认其持续保持验证状态。</w:t>
            </w:r>
          </w:p>
        </w:tc>
        <w:tc>
          <w:tcPr>
            <w:tcW w:w="5505" w:type="dxa"/>
            <w:vAlign w:val="center"/>
          </w:tcPr>
          <w:p w14:paraId="4FF5BC6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《中华人民共和国药品管理法》第四十三条；《药品生产监督管理办法》第三十四条。</w:t>
            </w:r>
          </w:p>
        </w:tc>
      </w:tr>
      <w:tr w14:paraId="7659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45" w:type="dxa"/>
            <w:vMerge w:val="continue"/>
            <w:vAlign w:val="center"/>
          </w:tcPr>
          <w:p w14:paraId="73B4330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54DDBCC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21</w:t>
            </w:r>
          </w:p>
        </w:tc>
        <w:tc>
          <w:tcPr>
            <w:tcW w:w="8497" w:type="dxa"/>
            <w:vAlign w:val="center"/>
          </w:tcPr>
          <w:p w14:paraId="4B091E24">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应当采取防止污染、交叉污染、混淆和差错的控制措施，定期评估控制措施的适用性和有</w:t>
            </w:r>
            <w:r>
              <w:rPr>
                <w:rFonts w:hint="eastAsia" w:ascii="方正仿宋_GBK" w:hAnsi="方正仿宋_GBK" w:eastAsia="方正仿宋_GBK" w:cs="方正仿宋_GBK"/>
                <w:spacing w:val="-6"/>
                <w:kern w:val="0"/>
                <w:sz w:val="18"/>
                <w:szCs w:val="18"/>
              </w:rPr>
              <w:t>效性，确保药品达到规定的国家药品标准和药品注册标准并符合药品生产质量管理规范要求。</w:t>
            </w:r>
          </w:p>
        </w:tc>
        <w:tc>
          <w:tcPr>
            <w:tcW w:w="5505" w:type="dxa"/>
            <w:vAlign w:val="center"/>
          </w:tcPr>
          <w:p w14:paraId="1274D51C">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《中华人民共和国药品管理法》第四十三条；《药品生产监督管理办法》第三十五条。</w:t>
            </w:r>
          </w:p>
        </w:tc>
      </w:tr>
      <w:tr w14:paraId="3566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745" w:type="dxa"/>
            <w:vMerge w:val="continue"/>
            <w:vAlign w:val="center"/>
          </w:tcPr>
          <w:p w14:paraId="57A71AC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7E5884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22</w:t>
            </w:r>
          </w:p>
        </w:tc>
        <w:tc>
          <w:tcPr>
            <w:tcW w:w="8497" w:type="dxa"/>
            <w:vAlign w:val="center"/>
          </w:tcPr>
          <w:p w14:paraId="2477937C">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药品包装操作应当采取降低混淆和差错风险的措施并确保有效期内的药品储存运输过程中不受污染。</w:t>
            </w:r>
          </w:p>
        </w:tc>
        <w:tc>
          <w:tcPr>
            <w:tcW w:w="5505" w:type="dxa"/>
            <w:vAlign w:val="center"/>
          </w:tcPr>
          <w:p w14:paraId="2C211DB3">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《中华人民共和国药品管理法》第四十三条；《药品生产监督管理办法》第三十六条。</w:t>
            </w:r>
          </w:p>
        </w:tc>
      </w:tr>
      <w:tr w14:paraId="1F64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745" w:type="dxa"/>
            <w:vMerge w:val="restart"/>
            <w:vAlign w:val="center"/>
          </w:tcPr>
          <w:p w14:paraId="2D6FDD5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生产过程管理</w:t>
            </w:r>
          </w:p>
        </w:tc>
        <w:tc>
          <w:tcPr>
            <w:tcW w:w="742" w:type="dxa"/>
            <w:vAlign w:val="center"/>
          </w:tcPr>
          <w:p w14:paraId="7678321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23</w:t>
            </w:r>
          </w:p>
        </w:tc>
        <w:tc>
          <w:tcPr>
            <w:tcW w:w="8497" w:type="dxa"/>
            <w:vAlign w:val="center"/>
          </w:tcPr>
          <w:p w14:paraId="4BBF843F">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药品上市许可持有人应当按照药品生产质量管理规范的要求对生产工艺变更进行管理和控制，并根据核准的生产工艺制定工艺规程。</w:t>
            </w:r>
          </w:p>
        </w:tc>
        <w:tc>
          <w:tcPr>
            <w:tcW w:w="5505" w:type="dxa"/>
            <w:vAlign w:val="center"/>
          </w:tcPr>
          <w:p w14:paraId="383CB2ED">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《中华人民共和国药品管理法》第四十四条；《药品生产监督管理办法》第四十三条。</w:t>
            </w:r>
          </w:p>
        </w:tc>
      </w:tr>
      <w:tr w14:paraId="6543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45" w:type="dxa"/>
            <w:vMerge w:val="continue"/>
            <w:vAlign w:val="center"/>
          </w:tcPr>
          <w:p w14:paraId="14A4ED8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6C4133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24</w:t>
            </w:r>
          </w:p>
        </w:tc>
        <w:tc>
          <w:tcPr>
            <w:tcW w:w="8497" w:type="dxa"/>
            <w:vAlign w:val="center"/>
          </w:tcPr>
          <w:p w14:paraId="272F67FB">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质量管理人员应当对每批次药品生产、检验过程中落实药品生产质量管理规范等要求情况进行监督，对发生的偏差组织调查，对潜在的质量风险及时采取控制措施；质量负责人应当确保在每批次药品放行前完成对生产记录、检验记录的审核，确保与质量有关的变更按规定得到审核和批准，确保所有重大偏差和检验超标已经过调查并得到及时处理。</w:t>
            </w:r>
          </w:p>
        </w:tc>
        <w:tc>
          <w:tcPr>
            <w:tcW w:w="5505" w:type="dxa"/>
            <w:vAlign w:val="center"/>
          </w:tcPr>
          <w:p w14:paraId="12D1003D">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《中华人民共和国药品管理法》第四十四条；《药品上市许可持有人落实药品质量安全主体责任监督管理规定》第二十五条。</w:t>
            </w:r>
          </w:p>
        </w:tc>
      </w:tr>
      <w:tr w14:paraId="21C5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45" w:type="dxa"/>
            <w:vMerge w:val="continue"/>
            <w:vAlign w:val="center"/>
          </w:tcPr>
          <w:p w14:paraId="32917CF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6AB7872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25</w:t>
            </w:r>
          </w:p>
        </w:tc>
        <w:tc>
          <w:tcPr>
            <w:tcW w:w="8497" w:type="dxa"/>
            <w:vAlign w:val="center"/>
          </w:tcPr>
          <w:p w14:paraId="0B30AC32">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上市许可持有人、药品生产企业应当每年对所生产的药品按照品种进行产品质量回顾分析、记录，以确认工艺稳定可靠，以及原料、辅料、直接接触药品的包装材料和容器、中间品、成品现行质量标准的适用性。</w:t>
            </w:r>
          </w:p>
        </w:tc>
        <w:tc>
          <w:tcPr>
            <w:tcW w:w="5505" w:type="dxa"/>
            <w:vAlign w:val="center"/>
          </w:tcPr>
          <w:p w14:paraId="75EEF6F3">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《中华人民共和国药品管理法》第四十四条；《药品生产监督管理办法》第四十四条。</w:t>
            </w:r>
          </w:p>
        </w:tc>
      </w:tr>
      <w:tr w14:paraId="4046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45" w:type="dxa"/>
            <w:vAlign w:val="center"/>
          </w:tcPr>
          <w:p w14:paraId="49C93C3F">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上市后变更管理和研究</w:t>
            </w:r>
          </w:p>
        </w:tc>
        <w:tc>
          <w:tcPr>
            <w:tcW w:w="742" w:type="dxa"/>
            <w:vAlign w:val="center"/>
          </w:tcPr>
          <w:p w14:paraId="5FCBBA7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26</w:t>
            </w:r>
          </w:p>
        </w:tc>
        <w:tc>
          <w:tcPr>
            <w:tcW w:w="8497" w:type="dxa"/>
            <w:vAlign w:val="center"/>
          </w:tcPr>
          <w:p w14:paraId="33E7C453">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注册证书及附件要求持有人在药品上市后开展相关研究工作的，持有人应当在规定时限内完成并按照要求提出补充申请、备案或者报告。对附条件批准的药品，应当采取相应风险管理措施，并在规定期限内按照要求完成相关研究。</w:t>
            </w:r>
          </w:p>
        </w:tc>
        <w:tc>
          <w:tcPr>
            <w:tcW w:w="5505" w:type="dxa"/>
            <w:vAlign w:val="center"/>
          </w:tcPr>
          <w:p w14:paraId="18F73972">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《中华人民共和国药品管理法》第七十八条；《药品注册管理办法》第七十六条。</w:t>
            </w:r>
          </w:p>
        </w:tc>
      </w:tr>
      <w:tr w14:paraId="5D47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745" w:type="dxa"/>
            <w:vMerge w:val="restart"/>
            <w:vAlign w:val="center"/>
          </w:tcPr>
          <w:p w14:paraId="043DB74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上市后变更管理和研究</w:t>
            </w:r>
          </w:p>
        </w:tc>
        <w:tc>
          <w:tcPr>
            <w:tcW w:w="742" w:type="dxa"/>
            <w:vAlign w:val="center"/>
          </w:tcPr>
          <w:p w14:paraId="476D01E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27</w:t>
            </w:r>
          </w:p>
        </w:tc>
        <w:tc>
          <w:tcPr>
            <w:tcW w:w="8497" w:type="dxa"/>
            <w:vAlign w:val="center"/>
          </w:tcPr>
          <w:p w14:paraId="406E352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应当持续开展药品安全性和有效性研究，持有人应当制定上市后风险管理计划，主动开展上市后研究，并基于对药品安全性、有效性、质量可控性的上市后研究情况等，定期开展上市后评价，对药品的获益和风险进行综合分析评估。根据评价结果，依法采取修订药品说明书、提高质量标准、完善工艺处方、暂停生产销售、召回药品、申请注销药品批准证明文件等质量提升或者风险防控措施。根据有关数据及时备案或者提出修订说明书的补充申请，不断更新完善说明书和标签。</w:t>
            </w:r>
          </w:p>
        </w:tc>
        <w:tc>
          <w:tcPr>
            <w:tcW w:w="5505" w:type="dxa"/>
            <w:vAlign w:val="center"/>
          </w:tcPr>
          <w:p w14:paraId="4732169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《中华人民共和国药品管理法》第七十七条；《药品上市许可持有人落实药品质量安全主体责任监督管理规定》第二十一条。</w:t>
            </w:r>
          </w:p>
        </w:tc>
      </w:tr>
      <w:tr w14:paraId="38FE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45" w:type="dxa"/>
            <w:vMerge w:val="continue"/>
            <w:vAlign w:val="center"/>
          </w:tcPr>
          <w:p w14:paraId="6F480AE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BDC9ED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28</w:t>
            </w:r>
          </w:p>
        </w:tc>
        <w:tc>
          <w:tcPr>
            <w:tcW w:w="8497" w:type="dxa"/>
            <w:vAlign w:val="center"/>
          </w:tcPr>
          <w:p w14:paraId="6A014B8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持有人应当按照相关规定，参照相关技术指导原则，全面评估、验证变更事项对药品安全性、有效性和质量可控性的影响，进行相应的研究工作。</w:t>
            </w:r>
          </w:p>
        </w:tc>
        <w:tc>
          <w:tcPr>
            <w:tcW w:w="5505" w:type="dxa"/>
            <w:vAlign w:val="center"/>
          </w:tcPr>
          <w:p w14:paraId="6526203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《中华人民共和国药品管理法》第七十九条；《药品注册管理办法》第七十七条。</w:t>
            </w:r>
          </w:p>
        </w:tc>
      </w:tr>
      <w:tr w14:paraId="6CCF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45" w:type="dxa"/>
            <w:vMerge w:val="continue"/>
            <w:vAlign w:val="center"/>
          </w:tcPr>
          <w:p w14:paraId="534BC3D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013E13F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29</w:t>
            </w:r>
          </w:p>
        </w:tc>
        <w:tc>
          <w:tcPr>
            <w:tcW w:w="8497" w:type="dxa"/>
            <w:vAlign w:val="center"/>
          </w:tcPr>
          <w:p w14:paraId="6CF9F0F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应当按照药品监管有关规定和药品生产质量管理规范等要求建立药品上市后变更控制体系，制定实施内部变更分类原则、变更事项清单、工作程序和风险管理要求；应当结合产品特点，经充分研究、评估和必要的验证后确定变更管理类别，经批准、备案后实施或者在年度报告中载明。</w:t>
            </w:r>
          </w:p>
        </w:tc>
        <w:tc>
          <w:tcPr>
            <w:tcW w:w="5505" w:type="dxa"/>
            <w:vAlign w:val="center"/>
          </w:tcPr>
          <w:p w14:paraId="2BE27C4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《中华人民共和国药品管理法》第七十九条；《药品上市许可持有人落实药品质量安全主体责任监督管理规定》第十四条。</w:t>
            </w:r>
          </w:p>
        </w:tc>
      </w:tr>
      <w:tr w14:paraId="2B81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45" w:type="dxa"/>
            <w:vMerge w:val="continue"/>
            <w:vAlign w:val="center"/>
          </w:tcPr>
          <w:p w14:paraId="393A911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5496852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30</w:t>
            </w:r>
          </w:p>
        </w:tc>
        <w:tc>
          <w:tcPr>
            <w:tcW w:w="8497" w:type="dxa"/>
            <w:vAlign w:val="center"/>
          </w:tcPr>
          <w:p w14:paraId="121FA04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以下变更，持有人应当以补充申请方式申报，经批准后实施：（一）药品生产过程中的重大变更；（二）药品说明书中涉及有效性内容以及增加安全性风险的其他内容的变更；（三）持有人转让药品上市许可；（四）国家药品监督管理局规定需要审批的其他变更。</w:t>
            </w:r>
          </w:p>
        </w:tc>
        <w:tc>
          <w:tcPr>
            <w:tcW w:w="5505" w:type="dxa"/>
            <w:vAlign w:val="center"/>
          </w:tcPr>
          <w:p w14:paraId="7CFE97A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《中华人民共和国药品管理法》第七十九条；《药品注册管理办法》第七十八条。</w:t>
            </w:r>
          </w:p>
        </w:tc>
      </w:tr>
      <w:tr w14:paraId="7D71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745" w:type="dxa"/>
            <w:vMerge w:val="continue"/>
            <w:vAlign w:val="center"/>
          </w:tcPr>
          <w:p w14:paraId="15A9100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0E25052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31</w:t>
            </w:r>
          </w:p>
        </w:tc>
        <w:tc>
          <w:tcPr>
            <w:tcW w:w="8497" w:type="dxa"/>
            <w:vAlign w:val="center"/>
          </w:tcPr>
          <w:p w14:paraId="5051975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以下变更，持有人应当在变更实施前，报所在地省、自治区、直辖市药品监督管理部门备案：（一）药品生产过程中的中等变更；（二）药品包装标签内容的变更；（三）药品分包装；（四）国家药品监督管理局规定需要备案的其他变更。</w:t>
            </w:r>
          </w:p>
        </w:tc>
        <w:tc>
          <w:tcPr>
            <w:tcW w:w="5505" w:type="dxa"/>
            <w:vAlign w:val="center"/>
          </w:tcPr>
          <w:p w14:paraId="6C73A34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《中华人民共和国药品管理法》第七十九条；《药品注册管理办法》第七十九条。</w:t>
            </w:r>
          </w:p>
        </w:tc>
      </w:tr>
      <w:tr w14:paraId="2677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745" w:type="dxa"/>
            <w:vMerge w:val="restart"/>
            <w:vAlign w:val="center"/>
          </w:tcPr>
          <w:p w14:paraId="24A7E1B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上市后变更管理和研究</w:t>
            </w:r>
          </w:p>
        </w:tc>
        <w:tc>
          <w:tcPr>
            <w:tcW w:w="742" w:type="dxa"/>
            <w:vAlign w:val="center"/>
          </w:tcPr>
          <w:p w14:paraId="78E4F55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32</w:t>
            </w:r>
          </w:p>
        </w:tc>
        <w:tc>
          <w:tcPr>
            <w:tcW w:w="8497" w:type="dxa"/>
            <w:vAlign w:val="center"/>
          </w:tcPr>
          <w:p w14:paraId="4BEF0AF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药品上市许可持有人名称、生产企业名称、生产地址名称等变更，应当完成药品生产许可证相应事项变更后，向所在地省级药品监管部门就药品批准证明文件相应管理信息变更进行备案。</w:t>
            </w:r>
          </w:p>
        </w:tc>
        <w:tc>
          <w:tcPr>
            <w:tcW w:w="5505" w:type="dxa"/>
            <w:vAlign w:val="center"/>
          </w:tcPr>
          <w:p w14:paraId="3C89A8C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《中华人民共和国药品管理法》第七十九条；《药品上市后变更管理办法（试行）》第十一条。</w:t>
            </w:r>
          </w:p>
        </w:tc>
      </w:tr>
      <w:tr w14:paraId="0FFA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45" w:type="dxa"/>
            <w:vMerge w:val="continue"/>
            <w:vAlign w:val="center"/>
          </w:tcPr>
          <w:p w14:paraId="5046F02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B7A624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33</w:t>
            </w:r>
          </w:p>
        </w:tc>
        <w:tc>
          <w:tcPr>
            <w:tcW w:w="8497" w:type="dxa"/>
            <w:vAlign w:val="center"/>
          </w:tcPr>
          <w:p w14:paraId="314004D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变更药品生产场地的，药品的处方、生产工艺、质量标准等应当与原药品一致，药品上市许可持有人应当确保能够持续稳定生产出与原药品质量和疗效一致的产品。药品的处方、生产工艺、质量标准等发生变更的，药品上市许可持有人应当进行充分研究、评估和必要的验证，并按规定经批准、备案后实施或报告。</w:t>
            </w:r>
          </w:p>
        </w:tc>
        <w:tc>
          <w:tcPr>
            <w:tcW w:w="5505" w:type="dxa"/>
            <w:vAlign w:val="center"/>
          </w:tcPr>
          <w:p w14:paraId="6C35701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《中华人民共和国药品管理法》第七十九条；《药品上市后变更管理办法（试行）》第十三条。</w:t>
            </w:r>
          </w:p>
        </w:tc>
      </w:tr>
      <w:tr w14:paraId="2338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9" w:hRule="atLeast"/>
          <w:jc w:val="center"/>
        </w:trPr>
        <w:tc>
          <w:tcPr>
            <w:tcW w:w="745" w:type="dxa"/>
            <w:vMerge w:val="continue"/>
            <w:vAlign w:val="center"/>
          </w:tcPr>
          <w:p w14:paraId="682AA11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50995C6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34</w:t>
            </w:r>
          </w:p>
        </w:tc>
        <w:tc>
          <w:tcPr>
            <w:tcW w:w="8497" w:type="dxa"/>
            <w:vAlign w:val="center"/>
          </w:tcPr>
          <w:p w14:paraId="1CF107A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上市许可持有人或药品生产企业内部变更生产场地、境内持有人变更生产企业（包括变更受托生产企业、增加受托生产企业、持有人自行生产变更为委托生产、委托生产变更为自行生产）的，持有人（药品生产企业）应当按照《药品生产监督管理办法》及相关变更技术指导原则要求进行研究、评估和必要的验证，向所在地省级药品监管部门提出变更《药品生产许可证》申请并提交相关资料。</w:t>
            </w:r>
          </w:p>
          <w:p w14:paraId="30DFDC9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生物制品变更药品生产场地的，持有人应当在《药品生产许可证》变更获得批准后，按照相关规范性文件和变更技术指导原则要求进行研究验证，属于重大变更的，报国家药品监督管理局药品审评中心批准后实施。</w:t>
            </w:r>
          </w:p>
        </w:tc>
        <w:tc>
          <w:tcPr>
            <w:tcW w:w="5505" w:type="dxa"/>
            <w:vAlign w:val="center"/>
          </w:tcPr>
          <w:p w14:paraId="27A0E6E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《中华人民共和国药品管理法》第七十九条；《药品上市后变更管理办法（试行）》第十四条、第十六条。</w:t>
            </w:r>
          </w:p>
        </w:tc>
      </w:tr>
      <w:tr w14:paraId="16F2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exact"/>
          <w:jc w:val="center"/>
        </w:trPr>
        <w:tc>
          <w:tcPr>
            <w:tcW w:w="745" w:type="dxa"/>
            <w:vMerge w:val="continue"/>
            <w:vAlign w:val="center"/>
          </w:tcPr>
          <w:p w14:paraId="2024368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308660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35</w:t>
            </w:r>
          </w:p>
        </w:tc>
        <w:tc>
          <w:tcPr>
            <w:tcW w:w="8497" w:type="dxa"/>
            <w:vAlign w:val="center"/>
          </w:tcPr>
          <w:p w14:paraId="50CFB32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生产设备、原辅料及包材来源和种类、生产环节技术参数、质量标准等生产过程变更的，药品上市许可持有人应当充分评估该变更可能对药品安全性、有效性和质量可控性影响的风险程度，确定变更管理类别，按照有关技术指导原则和药品生产质量管理规范进行充分研究、评估和必要的验证，经批准、备案后实施或报告。</w:t>
            </w:r>
          </w:p>
        </w:tc>
        <w:tc>
          <w:tcPr>
            <w:tcW w:w="5505" w:type="dxa"/>
            <w:vAlign w:val="center"/>
          </w:tcPr>
          <w:p w14:paraId="6AE61F1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《中华人民共和国药品管理法》第七十九条；《药品上市后变更管理办法（试行）》第十七条。</w:t>
            </w:r>
          </w:p>
        </w:tc>
      </w:tr>
      <w:tr w14:paraId="590F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745" w:type="dxa"/>
            <w:vAlign w:val="center"/>
          </w:tcPr>
          <w:p w14:paraId="2082C57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上市后变更管理和研究</w:t>
            </w:r>
          </w:p>
        </w:tc>
        <w:tc>
          <w:tcPr>
            <w:tcW w:w="742" w:type="dxa"/>
            <w:vAlign w:val="center"/>
          </w:tcPr>
          <w:p w14:paraId="2F638FD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36</w:t>
            </w:r>
          </w:p>
        </w:tc>
        <w:tc>
          <w:tcPr>
            <w:tcW w:w="8497" w:type="dxa"/>
            <w:vAlign w:val="center"/>
          </w:tcPr>
          <w:p w14:paraId="190E664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已经通过审评审批的原料药发生变更的，原料药登记人应当按照现行药品注册管理有关规定、药品生产质量管理规范、技术指导原则及《药品上市后变更管理办法（试行）》确定变更管理类别，经批准、备案后实施或报告。原料药登记人应当及时在登记平台更新变更信息。变更实施前，原料药登记人应当将有关情况及时通知相关制剂持有人。</w:t>
            </w:r>
          </w:p>
          <w:p w14:paraId="7C66EB9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制剂持有人接到上述通知后应当及时就相应变更对影响药品制剂质量的风险情况进行评估或研究，根据有关规定提出补充申请、备案或报告。未通过审评审批，且尚未进入审评程</w:t>
            </w:r>
            <w:r>
              <w:rPr>
                <w:rFonts w:hint="eastAsia" w:ascii="方正仿宋_GBK" w:hAnsi="方正仿宋_GBK" w:eastAsia="方正仿宋_GBK" w:cs="方正仿宋_GBK"/>
                <w:spacing w:val="-6"/>
                <w:kern w:val="0"/>
                <w:sz w:val="18"/>
                <w:szCs w:val="18"/>
              </w:rPr>
              <w:t>序的原料药发生变更的，原料药登记人可以通过药审中心网站登记平台随时更新相关资料。</w:t>
            </w:r>
          </w:p>
        </w:tc>
        <w:tc>
          <w:tcPr>
            <w:tcW w:w="5505" w:type="dxa"/>
            <w:vAlign w:val="center"/>
          </w:tcPr>
          <w:p w14:paraId="17E5C49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《中华人民共和国药品管理法》第七十九条；《药品上市后变更管理办法（试行）》第十九条。</w:t>
            </w:r>
          </w:p>
        </w:tc>
      </w:tr>
      <w:tr w14:paraId="1E2F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2" w:hRule="exact"/>
          <w:jc w:val="center"/>
        </w:trPr>
        <w:tc>
          <w:tcPr>
            <w:tcW w:w="745" w:type="dxa"/>
            <w:vMerge w:val="restart"/>
            <w:vAlign w:val="center"/>
          </w:tcPr>
          <w:p w14:paraId="2933426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委托生产、委托检验要求</w:t>
            </w:r>
          </w:p>
        </w:tc>
        <w:tc>
          <w:tcPr>
            <w:tcW w:w="742" w:type="dxa"/>
            <w:vAlign w:val="center"/>
          </w:tcPr>
          <w:p w14:paraId="4807066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37</w:t>
            </w:r>
          </w:p>
        </w:tc>
        <w:tc>
          <w:tcPr>
            <w:tcW w:w="8497" w:type="dxa"/>
            <w:vAlign w:val="center"/>
          </w:tcPr>
          <w:p w14:paraId="345525A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委托生产的，应当委托符合条件的药品生产企业。药品上市许可持有人和受托生产企业应当签订委托协议和质量协议，并严格履行协议约定的义务。药品上市许可持有人应当配备专人独立负责药品质量管理，对受托药品生产企业的质量管理体系进行定期审核，监督其持续具备质量保证和控制能力。</w:t>
            </w:r>
          </w:p>
          <w:p w14:paraId="1A76DA2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持有人不得通过质量协议转移依法应当由持有人履行的义务和责任。</w:t>
            </w:r>
          </w:p>
          <w:p w14:paraId="2F649C8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疫苗上市许可持有人应当具备疫苗生产能力；超出疫苗生产能力确需委托生产的，应当经国务院药品监督管理部门批准。接受委托生产的，应当遵守《中华人民共和国疫苗管理法》和国家有关规定，保证疫苗质量。</w:t>
            </w:r>
          </w:p>
        </w:tc>
        <w:tc>
          <w:tcPr>
            <w:tcW w:w="5505" w:type="dxa"/>
            <w:vAlign w:val="center"/>
          </w:tcPr>
          <w:p w14:paraId="35CB353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一条、第三十二条；《药品生产监督管理办法》第四十二条；《中华人民共和国疫苗管理法》第二十二条；《药品上市许可持有人落实药品质量安全主体责任监督管理规定》第十六条。</w:t>
            </w:r>
          </w:p>
        </w:tc>
      </w:tr>
      <w:tr w14:paraId="0FCD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45" w:type="dxa"/>
            <w:vMerge w:val="continue"/>
            <w:vAlign w:val="center"/>
          </w:tcPr>
          <w:p w14:paraId="61172B1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06F1C5A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38</w:t>
            </w:r>
          </w:p>
        </w:tc>
        <w:tc>
          <w:tcPr>
            <w:tcW w:w="8497" w:type="dxa"/>
            <w:vAlign w:val="center"/>
          </w:tcPr>
          <w:p w14:paraId="767A76D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委托生产无菌药品的，持有人的生产负责人、质量负责人、质量受权人均应当具有至少五年从事药品生产和质量管理的实践经验，其中至少三年无菌药品生产和质量管理的实践经验。</w:t>
            </w:r>
          </w:p>
        </w:tc>
        <w:tc>
          <w:tcPr>
            <w:tcW w:w="5505" w:type="dxa"/>
            <w:vAlign w:val="center"/>
          </w:tcPr>
          <w:p w14:paraId="7D40CF5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《中华人民共和国药品管理法》第三十一条、第三十二条；《国家药监局关于加强药品上市许可持有人委托生产监督管理工作的公告》（2023年第132号）一（二）。</w:t>
            </w:r>
          </w:p>
        </w:tc>
      </w:tr>
      <w:tr w14:paraId="5324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745" w:type="dxa"/>
            <w:vMerge w:val="restart"/>
            <w:vAlign w:val="center"/>
          </w:tcPr>
          <w:p w14:paraId="467B18C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委托生产、委托检验要求</w:t>
            </w:r>
          </w:p>
        </w:tc>
        <w:tc>
          <w:tcPr>
            <w:tcW w:w="742" w:type="dxa"/>
            <w:vAlign w:val="center"/>
          </w:tcPr>
          <w:p w14:paraId="310546A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39</w:t>
            </w:r>
          </w:p>
        </w:tc>
        <w:tc>
          <w:tcPr>
            <w:tcW w:w="8497" w:type="dxa"/>
            <w:vAlign w:val="center"/>
          </w:tcPr>
          <w:p w14:paraId="0688FC4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委托生产中药注射剂、多组分生化药的，持有人的生产负责人、质量负责人、质量受权人应当具备同类型制剂产品三年以上生产和质量管理的实践经验；产品应当具有近五年连续生产销售记录，且未发生过严重不良反应和抽检不合格的情况；受托生产企业应当具备同类型制剂产品近三年连续生产的记录。</w:t>
            </w:r>
          </w:p>
        </w:tc>
        <w:tc>
          <w:tcPr>
            <w:tcW w:w="5505" w:type="dxa"/>
            <w:vAlign w:val="center"/>
          </w:tcPr>
          <w:p w14:paraId="49520CB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《中华人民共和国药品管理法》第三十一条、第三十二条；《国家药监局关于加强药品上市许可持有人委托生产监督管理工作的公告》（2023年第132号）一（六）。</w:t>
            </w:r>
          </w:p>
        </w:tc>
      </w:tr>
      <w:tr w14:paraId="6A7E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745" w:type="dxa"/>
            <w:vMerge w:val="continue"/>
            <w:vAlign w:val="center"/>
          </w:tcPr>
          <w:p w14:paraId="69997E1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1C82B6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40</w:t>
            </w:r>
          </w:p>
        </w:tc>
        <w:tc>
          <w:tcPr>
            <w:tcW w:w="8497" w:type="dxa"/>
            <w:vAlign w:val="center"/>
          </w:tcPr>
          <w:p w14:paraId="586FB57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应当按照现行技术要求，对拟委托生产的中药注射剂或者多组分生化药开展化学成分研究、定性定量分析方法研究、生物学质控方法研究、持续稳定性考察研究、全面毒理学研究和药品上市后研究。持有人还应当对受托生产企业以及中药提取物、动物来源原材料制备过程的药品GMP符合情况进行现场审核，并对受托生产企业检验能力进行评估。</w:t>
            </w:r>
          </w:p>
        </w:tc>
        <w:tc>
          <w:tcPr>
            <w:tcW w:w="5505" w:type="dxa"/>
            <w:vAlign w:val="center"/>
          </w:tcPr>
          <w:p w14:paraId="03C8A48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《中华人民共和国药品管理法》第三十一条、第三十二条；国家药监局关于加强药品上市许可持有人委托生产监督管理工作的公告（2023年第132号）一（六）。</w:t>
            </w:r>
          </w:p>
        </w:tc>
      </w:tr>
      <w:tr w14:paraId="2595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745" w:type="dxa"/>
            <w:vMerge w:val="continue"/>
            <w:vAlign w:val="center"/>
          </w:tcPr>
          <w:p w14:paraId="6266D08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1AF127E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41</w:t>
            </w:r>
          </w:p>
        </w:tc>
        <w:tc>
          <w:tcPr>
            <w:tcW w:w="8497" w:type="dxa"/>
            <w:vAlign w:val="center"/>
          </w:tcPr>
          <w:p w14:paraId="69669A1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对拟委托生产的中药注射剂或者多组分生化药，持有人应当向所在地省级药品监管部门提交上述研究资料、药品GMP现场审核报告和检验能力评估报告、近五年产品生产销售记录、不良反应监测总结报告、关键岗位人员的资质证明材料及受托生产企业同类型制剂产品近三年连续生产的记录。</w:t>
            </w:r>
          </w:p>
        </w:tc>
        <w:tc>
          <w:tcPr>
            <w:tcW w:w="5505" w:type="dxa"/>
            <w:vAlign w:val="center"/>
          </w:tcPr>
          <w:p w14:paraId="7B821C2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《中华人民共和国药品管理法》第三十一条、第三十二条；《国家药监局关于加强药品上市许可持有人委托生产监督管理工作的公告》（2023年第132号）一（六）。</w:t>
            </w:r>
          </w:p>
        </w:tc>
      </w:tr>
      <w:tr w14:paraId="277C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745" w:type="dxa"/>
            <w:vMerge w:val="continue"/>
            <w:vAlign w:val="center"/>
          </w:tcPr>
          <w:p w14:paraId="211A0A5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44176DA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42</w:t>
            </w:r>
          </w:p>
        </w:tc>
        <w:tc>
          <w:tcPr>
            <w:tcW w:w="8497" w:type="dxa"/>
            <w:vAlign w:val="center"/>
          </w:tcPr>
          <w:p w14:paraId="63F3C0A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委托生产的中药注射剂或者多组分生化药，在委托生产期间，持有人应当每年对受托生产企业以及中药提取物、动物来源原材料制备过程的药品GMP符合情况进行现场审核，并对受托生产企业检验能力进行评估。委托生产品种发生严重不良反应或者抽检发现不合格情况的，应当停止委托生产活动。</w:t>
            </w:r>
          </w:p>
        </w:tc>
        <w:tc>
          <w:tcPr>
            <w:tcW w:w="5505" w:type="dxa"/>
            <w:vAlign w:val="center"/>
          </w:tcPr>
          <w:p w14:paraId="4498175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《中华人民共和国药品管理法》第三十一条、第三十二条；《国家药监局关于加强药品上市许可持有人委托生产监督管理工作的公告》（2023年第132号）一（六）。</w:t>
            </w:r>
          </w:p>
        </w:tc>
      </w:tr>
      <w:tr w14:paraId="03DA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vMerge w:val="restart"/>
            <w:vAlign w:val="center"/>
          </w:tcPr>
          <w:p w14:paraId="768CE0F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委托生产、委托检验要求</w:t>
            </w:r>
          </w:p>
        </w:tc>
        <w:tc>
          <w:tcPr>
            <w:tcW w:w="742" w:type="dxa"/>
            <w:vAlign w:val="center"/>
          </w:tcPr>
          <w:p w14:paraId="43B78F0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43</w:t>
            </w:r>
          </w:p>
        </w:tc>
        <w:tc>
          <w:tcPr>
            <w:tcW w:w="8497" w:type="dxa"/>
            <w:vAlign w:val="center"/>
          </w:tcPr>
          <w:p w14:paraId="3FF41AF7">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受托生产企业存在以下不良信用记录情形的，持有人应当向所在地省级药品监管部门如实报告，并提交持有人对受托生产企业药品GMP符合情况的现场审核报告、对受托生产企业检验能力的评估报告以及对受托生产企业前期违法违规行为整改情况的评估报告。</w:t>
            </w:r>
          </w:p>
          <w:p w14:paraId="31B3CD35">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不良信用记录情形包括：1.近一年内存在两批次产品抽检不合格的；2.近三年内监督检查结论存在不符合药品GMP要求情况的；3.近五年内存在严重违反药品监管法规行为或者关键岗位人员存在失信记录的。</w:t>
            </w:r>
          </w:p>
        </w:tc>
        <w:tc>
          <w:tcPr>
            <w:tcW w:w="5505" w:type="dxa"/>
            <w:vAlign w:val="center"/>
          </w:tcPr>
          <w:p w14:paraId="74AEA17B">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《中华人民共和国药品管理法》第三十一条、第三十二条；《国家药监局关于加强药品上市许可持有人委托生产监督管理工作的公告》（2023年第132号）一（七）。</w:t>
            </w:r>
          </w:p>
        </w:tc>
      </w:tr>
      <w:tr w14:paraId="69EB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45" w:type="dxa"/>
            <w:vMerge w:val="continue"/>
            <w:vAlign w:val="center"/>
          </w:tcPr>
          <w:p w14:paraId="3471AE4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06954F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44</w:t>
            </w:r>
          </w:p>
        </w:tc>
        <w:tc>
          <w:tcPr>
            <w:tcW w:w="8497" w:type="dxa"/>
            <w:vAlign w:val="center"/>
          </w:tcPr>
          <w:p w14:paraId="2476FAF0">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snapToGrid w:val="0"/>
                <w:kern w:val="0"/>
                <w:sz w:val="18"/>
                <w:szCs w:val="18"/>
              </w:rPr>
              <w:t>对存在不良信用记录情形的，在委托生产药品期间，持有人还应当每年向所在地省级药品监管部门定期提交对受托生产企业的审核报告和评估报告；持有人还要派员驻厂对委托生产过程进行管理，确保生产过程持续符合药品GMP及法规要求。</w:t>
            </w:r>
          </w:p>
        </w:tc>
        <w:tc>
          <w:tcPr>
            <w:tcW w:w="5505" w:type="dxa"/>
            <w:vAlign w:val="center"/>
          </w:tcPr>
          <w:p w14:paraId="2C5A899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snapToGrid w:val="0"/>
                <w:kern w:val="0"/>
                <w:sz w:val="18"/>
                <w:szCs w:val="18"/>
              </w:rPr>
              <w:t>《中华人民共和国药品管理法》第三十一条、第三十二条；《国家药监局关于加强药品上市许可持有人委托生产监督管理工作的公告》（2023年第132号）一（七）。</w:t>
            </w:r>
          </w:p>
        </w:tc>
      </w:tr>
      <w:tr w14:paraId="1A92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745" w:type="dxa"/>
            <w:vMerge w:val="continue"/>
            <w:vAlign w:val="center"/>
          </w:tcPr>
          <w:p w14:paraId="7199A27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05DCD1C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45</w:t>
            </w:r>
          </w:p>
        </w:tc>
        <w:tc>
          <w:tcPr>
            <w:tcW w:w="8497" w:type="dxa"/>
            <w:vAlign w:val="center"/>
          </w:tcPr>
          <w:p w14:paraId="397032CD">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snapToGrid w:val="0"/>
                <w:kern w:val="0"/>
                <w:sz w:val="18"/>
                <w:szCs w:val="18"/>
              </w:rPr>
              <w:t>持有人应当设立职责清晰的管理部门，配备与药品生产经营规模相适应的管理人员，按规定建立覆盖药品生产全过程的质量管理体系。持有人应当对受托生产企业的质量保证能力和风险管理能力进行评估，按规定与受托生产企业签订质量协议和委托生产协议；应当监督受托生产企业履行协议约定的义务，确保双方质量管理体系有效衔接；对受托生产企业的质量管理体系进行定期现场审核，确保生产过程持续符合法定要求。</w:t>
            </w:r>
          </w:p>
        </w:tc>
        <w:tc>
          <w:tcPr>
            <w:tcW w:w="5505" w:type="dxa"/>
            <w:vAlign w:val="center"/>
          </w:tcPr>
          <w:p w14:paraId="39D5D6E3">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snapToGrid w:val="0"/>
                <w:kern w:val="0"/>
                <w:sz w:val="18"/>
                <w:szCs w:val="18"/>
              </w:rPr>
              <w:t>《中华人民共和国药品管理法》第三十一条、第三十二条；《国家药监局关于加强药品上市许可持有人委托生产监督管理工作的公告》（2023年第132号）二（八）。</w:t>
            </w:r>
          </w:p>
        </w:tc>
      </w:tr>
      <w:tr w14:paraId="6FDE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45" w:type="dxa"/>
            <w:vMerge w:val="continue"/>
            <w:vAlign w:val="center"/>
          </w:tcPr>
          <w:p w14:paraId="6763B4D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6A39C56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46</w:t>
            </w:r>
          </w:p>
        </w:tc>
        <w:tc>
          <w:tcPr>
            <w:tcW w:w="8497" w:type="dxa"/>
            <w:vAlign w:val="center"/>
          </w:tcPr>
          <w:p w14:paraId="4D973413">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snapToGrid w:val="0"/>
                <w:kern w:val="0"/>
                <w:sz w:val="18"/>
                <w:szCs w:val="18"/>
              </w:rPr>
              <w:t>持有人应当对物料供应商进行评估批准，定期对主要物料供应商的质量管理体系进行现场审核。持有人应当对原料、辅料、直接接触药品的包装材料和容器的进厂检验严格管理，定期对受托生产企业的入厂检验结果抽查审核，确保相关物料符合药用要求和法定标准。</w:t>
            </w:r>
          </w:p>
        </w:tc>
        <w:tc>
          <w:tcPr>
            <w:tcW w:w="5505" w:type="dxa"/>
            <w:vAlign w:val="center"/>
          </w:tcPr>
          <w:p w14:paraId="15C769B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snapToGrid w:val="0"/>
                <w:kern w:val="0"/>
                <w:sz w:val="18"/>
                <w:szCs w:val="18"/>
              </w:rPr>
              <w:t>《中华人民共和国药品管理法》第三十一条、第三十二条；《国家药监局关于加强药品上市许可持有人委托生产监督管理工作的公告》（2023年第132号）二（九）。</w:t>
            </w:r>
          </w:p>
        </w:tc>
      </w:tr>
      <w:tr w14:paraId="433D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745" w:type="dxa"/>
            <w:vMerge w:val="continue"/>
            <w:vAlign w:val="center"/>
          </w:tcPr>
          <w:p w14:paraId="726984D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F38BA6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47</w:t>
            </w:r>
          </w:p>
        </w:tc>
        <w:tc>
          <w:tcPr>
            <w:tcW w:w="8497" w:type="dxa"/>
            <w:vAlign w:val="center"/>
          </w:tcPr>
          <w:p w14:paraId="11A1AB1A">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snapToGrid w:val="0"/>
                <w:kern w:val="0"/>
                <w:sz w:val="18"/>
                <w:szCs w:val="18"/>
              </w:rPr>
              <w:t>持有人应当结合产品风险定期组织对委托生产质量管理、生产管理等情况进行回顾分析，原则上每季度不少于一次风险研判，制定纠正预防措施，持续健全质量管理体系。</w:t>
            </w:r>
          </w:p>
        </w:tc>
        <w:tc>
          <w:tcPr>
            <w:tcW w:w="5505" w:type="dxa"/>
            <w:vAlign w:val="center"/>
          </w:tcPr>
          <w:p w14:paraId="32A730EA">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snapToGrid w:val="0"/>
                <w:kern w:val="0"/>
                <w:sz w:val="18"/>
                <w:szCs w:val="18"/>
              </w:rPr>
              <w:t>《中华人民共和国药品管理法》第三十一条、第三十二条；《国家药监局关于加强药品上市许可持有人委托生产监督管理工作的公告》（2023年第132号）二（十）。</w:t>
            </w:r>
          </w:p>
        </w:tc>
      </w:tr>
      <w:tr w14:paraId="074A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745" w:type="dxa"/>
            <w:vMerge w:val="restart"/>
            <w:vAlign w:val="center"/>
          </w:tcPr>
          <w:p w14:paraId="4E296CB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委托生产、委托检验要求</w:t>
            </w:r>
          </w:p>
        </w:tc>
        <w:tc>
          <w:tcPr>
            <w:tcW w:w="742" w:type="dxa"/>
            <w:vAlign w:val="center"/>
          </w:tcPr>
          <w:p w14:paraId="3222598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48</w:t>
            </w:r>
          </w:p>
        </w:tc>
        <w:tc>
          <w:tcPr>
            <w:tcW w:w="8497" w:type="dxa"/>
            <w:vAlign w:val="center"/>
          </w:tcPr>
          <w:p w14:paraId="542716F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snapToGrid w:val="0"/>
                <w:kern w:val="0"/>
                <w:sz w:val="18"/>
                <w:szCs w:val="18"/>
              </w:rPr>
              <w:t>持有人应当按照药品监管有关规定和药品生产质量管理规范等要求建立药品上市后变更控制体系，制定内部变更分类原则、变更事项清单、工作程序和风险管理要求，并认真实施；应当结合产品特点，联合受托生产企业开展相关研究、评估和必要的验证后，确定变更管理类别，经批准、备案后实施或者在年度报告中载明。</w:t>
            </w:r>
          </w:p>
        </w:tc>
        <w:tc>
          <w:tcPr>
            <w:tcW w:w="5505" w:type="dxa"/>
            <w:vAlign w:val="center"/>
          </w:tcPr>
          <w:p w14:paraId="3E9CD8A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snapToGrid w:val="0"/>
                <w:kern w:val="0"/>
                <w:sz w:val="18"/>
                <w:szCs w:val="18"/>
              </w:rPr>
              <w:t>《中华人民共和国药品管理法》第三十一条、第三十二条；《国家药监局关于加强药品上市许可持有人委托生产监督管理工作的公告》（2023年第132号）二（十一）。</w:t>
            </w:r>
          </w:p>
        </w:tc>
      </w:tr>
      <w:tr w14:paraId="70CD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745" w:type="dxa"/>
            <w:vMerge w:val="continue"/>
            <w:vAlign w:val="center"/>
          </w:tcPr>
          <w:p w14:paraId="754214C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05B2790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49</w:t>
            </w:r>
          </w:p>
        </w:tc>
        <w:tc>
          <w:tcPr>
            <w:tcW w:w="8497" w:type="dxa"/>
            <w:vAlign w:val="center"/>
          </w:tcPr>
          <w:p w14:paraId="16515D0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可以自建质量控制实验室开展检验，也可以委托受托生产企业进行检，但应当对受托方的条件、技术水平、质量管理情况进行现场考核；持有人应当对受托检验的全过程进行监督。原则上，持有人或者受托生产企业不得再委托第三方检验；但个别检验项目涉及使用成本高昂、使用频次较少的专业检验设备，持有人可以委托具有资质的第三方检验机构进行检验；持有人应当对第三方检验机构资质和能力进行审核，与之签订委托检验协议，并向持有人所在地省级药品监管部门报告。</w:t>
            </w:r>
          </w:p>
        </w:tc>
        <w:tc>
          <w:tcPr>
            <w:tcW w:w="5505" w:type="dxa"/>
            <w:vAlign w:val="center"/>
          </w:tcPr>
          <w:p w14:paraId="7C4E255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《中华人民共和国药品管理法》第三十一条、第三十二条；《国家药监局关于加强药品上市许可持有人委托生产监督管理工作的公告》（2023年第132号）二（十二）。</w:t>
            </w:r>
          </w:p>
        </w:tc>
      </w:tr>
      <w:tr w14:paraId="3346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745" w:type="dxa"/>
            <w:vMerge w:val="continue"/>
            <w:vAlign w:val="center"/>
          </w:tcPr>
          <w:p w14:paraId="7943232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0A6AD0A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50</w:t>
            </w:r>
          </w:p>
        </w:tc>
        <w:tc>
          <w:tcPr>
            <w:tcW w:w="8497" w:type="dxa"/>
            <w:vAlign w:val="center"/>
          </w:tcPr>
          <w:p w14:paraId="0FB0B7C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对于同一生产线生产其他产品的，持有人和受托生产企业应当根据《药品共线生产质量风险管理指南》，制定可行的污染控制措施，排查污染和交叉污染风险。持有人应当定期对受托生产企业执行污染控制措施的情况进行检查，并根据风险评估情况设置必要的检验项目、开展检验，确保药品质量安全。受托生产企业应当积极配合，并在委托生产协议中明确双方责任义务。</w:t>
            </w:r>
          </w:p>
        </w:tc>
        <w:tc>
          <w:tcPr>
            <w:tcW w:w="5505" w:type="dxa"/>
            <w:vAlign w:val="center"/>
          </w:tcPr>
          <w:p w14:paraId="6134F5F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《中华人民共和国药品管理法》第三十一条、第三十二条；《国家药监局关于加强药品上市许可持有人委托生产监督管理工作的公告》（2023年第132号）二（十三）。</w:t>
            </w:r>
          </w:p>
        </w:tc>
      </w:tr>
      <w:tr w14:paraId="0B77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8" w:hRule="atLeast"/>
          <w:jc w:val="center"/>
        </w:trPr>
        <w:tc>
          <w:tcPr>
            <w:tcW w:w="745" w:type="dxa"/>
            <w:vAlign w:val="center"/>
          </w:tcPr>
          <w:p w14:paraId="3225045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委托生产、委托检验要求</w:t>
            </w:r>
          </w:p>
        </w:tc>
        <w:tc>
          <w:tcPr>
            <w:tcW w:w="742" w:type="dxa"/>
            <w:vAlign w:val="center"/>
          </w:tcPr>
          <w:p w14:paraId="5694113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51</w:t>
            </w:r>
          </w:p>
        </w:tc>
        <w:tc>
          <w:tcPr>
            <w:tcW w:w="8497" w:type="dxa"/>
            <w:vAlign w:val="center"/>
          </w:tcPr>
          <w:p w14:paraId="6905AE4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生物制品、中药注射剂、多组分生化药委托生产的，持有人应当持续提升全过程质量管理水平，重点做好以下工作：</w:t>
            </w:r>
          </w:p>
          <w:p w14:paraId="2CD0832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1.持有人应当建立覆盖生产用主要原料（包括生物材料、中药材、中药饮片、中药提取物、动物来源原材料等）生产过程的质量管理体系。</w:t>
            </w:r>
          </w:p>
          <w:p w14:paraId="50D35AF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2.持有人应当每年对生产用主要原料的供应商进行现场审核；委托生产品种涉及多场地生产的，应当确保各场地生产用主要原料的产地、来源、供应商和质量标准等一致。</w:t>
            </w:r>
          </w:p>
          <w:p w14:paraId="4B1A65B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在委托生产药品期间，持有人应当选派具有相关领域生产和质量管理的实践经验、熟悉产品生产工艺和质量控制要求的人员入驻受托生产企业，对产品生产管理、质量管理全过程进行现场指导和监督，确保生产工艺、质量标准等符合法规要求；派驻人员工作职责应当在质量协议中予以明确。</w:t>
            </w:r>
          </w:p>
          <w:p w14:paraId="5AE3386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药品生产过程中，由受托生产企业对物料、中间产品（原液）、成品进行检验的，持有人应当自行或者委托第三方，定期对主要原料、中间产品（原液）、成品开展抽样检验。原则上，每生产10批次成品，对主要原料、中间产品（原液）、成品至少抽样检验1批次；生产成品不足10批次的年度，当年对主要原料、中间产品（原液）、成品至少抽样检验1批次；发生重大偏差或者存在重大不良趋势的，持有人应当对主要原料、中间产品（原液）、成品的相关批次逐批抽样检验，并开展持续稳定性考察；发生重大变更的，持有人应当在变更获批后至少对连续3批成品逐批抽样检验。相关要求应当在质量协议中予以明确。</w:t>
            </w:r>
          </w:p>
        </w:tc>
        <w:tc>
          <w:tcPr>
            <w:tcW w:w="5505" w:type="dxa"/>
            <w:vAlign w:val="center"/>
          </w:tcPr>
          <w:p w14:paraId="75B0B9A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《中华人民共和国药品管理法》第三十一条、第三十二条；《国家药监局关于加强药品上市许可持有人委托生产监督管理工作的公告》（2023年第132号）二（十四）。</w:t>
            </w:r>
          </w:p>
        </w:tc>
      </w:tr>
      <w:tr w14:paraId="6C1A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45" w:type="dxa"/>
            <w:vMerge w:val="restart"/>
            <w:vAlign w:val="center"/>
          </w:tcPr>
          <w:p w14:paraId="24270011">
            <w:pPr>
              <w:keepNext w:val="0"/>
              <w:keepLines w:val="0"/>
              <w:pageBreakBefore w:val="0"/>
              <w:widowControl/>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委托生产、委托检验要求</w:t>
            </w:r>
          </w:p>
        </w:tc>
        <w:tc>
          <w:tcPr>
            <w:tcW w:w="742" w:type="dxa"/>
            <w:vAlign w:val="center"/>
          </w:tcPr>
          <w:p w14:paraId="62F0DD2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52</w:t>
            </w:r>
          </w:p>
        </w:tc>
        <w:tc>
          <w:tcPr>
            <w:tcW w:w="8497" w:type="dxa"/>
            <w:vAlign w:val="center"/>
          </w:tcPr>
          <w:p w14:paraId="1DBB6FCB">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受托生产企业应当严格执行质量协议和委托生产协议，积极配合持有人的现场审核和抽查检验，开放相关场所或者区域，提供真实、有效、完整的文件、记录、票据、凭证、电子数据等相关材料。</w:t>
            </w:r>
          </w:p>
        </w:tc>
        <w:tc>
          <w:tcPr>
            <w:tcW w:w="5505" w:type="dxa"/>
            <w:vAlign w:val="center"/>
          </w:tcPr>
          <w:p w14:paraId="0E7AB662">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《中华人民共和国药品管理法》第三十一条、第三十二条；《国家药监局关于加强药品上市许可持有人委托生产监督管理工作的公告》（2023年第132号）二（十五）。</w:t>
            </w:r>
          </w:p>
        </w:tc>
      </w:tr>
      <w:tr w14:paraId="788D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45" w:type="dxa"/>
            <w:vMerge w:val="continue"/>
            <w:vAlign w:val="center"/>
          </w:tcPr>
          <w:p w14:paraId="577D592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2898A25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53</w:t>
            </w:r>
          </w:p>
        </w:tc>
        <w:tc>
          <w:tcPr>
            <w:tcW w:w="8497" w:type="dxa"/>
            <w:vAlign w:val="center"/>
          </w:tcPr>
          <w:p w14:paraId="0F623E78">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委托方对委托配制制剂的质量负责；受托方应当具备与配制该制剂相适应的配制与质量保证条件，按《药品生产质量管理规范》或者《医疗机构制剂配制质量管理规范》进行配制，向委托方出具批检验报告书，并按规定保存所有受托配制的文件和记录。</w:t>
            </w:r>
          </w:p>
        </w:tc>
        <w:tc>
          <w:tcPr>
            <w:tcW w:w="5505" w:type="dxa"/>
            <w:vAlign w:val="center"/>
          </w:tcPr>
          <w:p w14:paraId="3E4DB8E6">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《中华人民共和国药品管理法》第三十一条、第三十二条；《医疗机构制剂配制监督管理办法（试行）》第三十五条。</w:t>
            </w:r>
          </w:p>
        </w:tc>
      </w:tr>
      <w:tr w14:paraId="274E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745" w:type="dxa"/>
            <w:vMerge w:val="restart"/>
            <w:vAlign w:val="center"/>
          </w:tcPr>
          <w:p w14:paraId="6B188D0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标签说明书管理</w:t>
            </w:r>
          </w:p>
        </w:tc>
        <w:tc>
          <w:tcPr>
            <w:tcW w:w="742" w:type="dxa"/>
            <w:vAlign w:val="center"/>
          </w:tcPr>
          <w:p w14:paraId="449B89C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54</w:t>
            </w:r>
          </w:p>
        </w:tc>
        <w:tc>
          <w:tcPr>
            <w:tcW w:w="8497" w:type="dxa"/>
            <w:vAlign w:val="center"/>
          </w:tcPr>
          <w:p w14:paraId="2DBD6A0F">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包装应当适合药品质量的要求，方便储存、运输和医疗使用，应当按规定印有或者贴有标签并附说明书。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14:paraId="7063A7F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麻醉药品、精神药品、医疗用毒性药品、放射性药品、外用药品和非处方药的标签、说明书，应当印有规定的标志。药品包装不得夹带其他任何介绍或者宣传产品、企业的文字、音像及其他资料。</w:t>
            </w:r>
          </w:p>
        </w:tc>
        <w:tc>
          <w:tcPr>
            <w:tcW w:w="5505" w:type="dxa"/>
            <w:vAlign w:val="center"/>
          </w:tcPr>
          <w:p w14:paraId="1AC350FA">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《中华人民共和国药品管理法》第四十八条第一款、第四十九条；《药品说明书和标签管理规定》第四条。</w:t>
            </w:r>
          </w:p>
        </w:tc>
      </w:tr>
      <w:tr w14:paraId="007F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745" w:type="dxa"/>
            <w:vMerge w:val="continue"/>
            <w:vAlign w:val="center"/>
          </w:tcPr>
          <w:p w14:paraId="2889127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66C5112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55</w:t>
            </w:r>
          </w:p>
        </w:tc>
        <w:tc>
          <w:tcPr>
            <w:tcW w:w="8497" w:type="dxa"/>
            <w:vAlign w:val="center"/>
          </w:tcPr>
          <w:p w14:paraId="58E2B1C6">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应当主动跟踪药品上市后的安全性、有效性情况，需要对药品说明书进行修改的，应当及时提出申请。药品说明书获准修改后，持有人应当将修改的内容立即通知药品生产企业、相关药品经营企业、使用单位及其他部门，并按要求及时使用修改后的说明书和标签。</w:t>
            </w:r>
          </w:p>
        </w:tc>
        <w:tc>
          <w:tcPr>
            <w:tcW w:w="5505" w:type="dxa"/>
            <w:vAlign w:val="center"/>
          </w:tcPr>
          <w:p w14:paraId="24C62242">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《中华人民共和国药品管理法》第七十七条；《药品说明书和标签管理规定》第十二条、十三条。</w:t>
            </w:r>
          </w:p>
        </w:tc>
      </w:tr>
      <w:tr w14:paraId="3579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45" w:type="dxa"/>
            <w:vMerge w:val="continue"/>
            <w:vAlign w:val="center"/>
          </w:tcPr>
          <w:p w14:paraId="72C8082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D2C2C9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56</w:t>
            </w:r>
          </w:p>
        </w:tc>
        <w:tc>
          <w:tcPr>
            <w:tcW w:w="8497" w:type="dxa"/>
            <w:vAlign w:val="center"/>
          </w:tcPr>
          <w:p w14:paraId="23DBC1AD">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含有兴奋剂目录所列禁用物质的，生产企业应当在包装标识或者产品说明书上用中文注明“运动员慎用”字样。</w:t>
            </w:r>
          </w:p>
        </w:tc>
        <w:tc>
          <w:tcPr>
            <w:tcW w:w="5505" w:type="dxa"/>
            <w:vAlign w:val="center"/>
          </w:tcPr>
          <w:p w14:paraId="6CCA3D5B">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《反兴奋剂条例》第十七条。</w:t>
            </w:r>
          </w:p>
        </w:tc>
      </w:tr>
      <w:tr w14:paraId="72D4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jc w:val="center"/>
        </w:trPr>
        <w:tc>
          <w:tcPr>
            <w:tcW w:w="745" w:type="dxa"/>
            <w:vAlign w:val="center"/>
          </w:tcPr>
          <w:p w14:paraId="0F7A780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放行与追溯管理</w:t>
            </w:r>
          </w:p>
        </w:tc>
        <w:tc>
          <w:tcPr>
            <w:tcW w:w="742" w:type="dxa"/>
            <w:vAlign w:val="center"/>
          </w:tcPr>
          <w:p w14:paraId="3D260BC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57</w:t>
            </w:r>
          </w:p>
        </w:tc>
        <w:tc>
          <w:tcPr>
            <w:tcW w:w="8497" w:type="dxa"/>
            <w:vAlign w:val="center"/>
          </w:tcPr>
          <w:p w14:paraId="16F3AD1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上市许可持有人应当建立药品上市放行规程，对药品生产企业出厂放行的药品检验结果和放行文件进行审核，经质量受权人签字后方可放行。药品生产企业应当对药品进行质量检验，建立药品出厂放行规程，明确出厂放行的标准、条件，对质量检验结果、关键生产记录和偏差控制情况进行审核，符合标准、条件的，经质量受权人签字后方可出厂放行。</w:t>
            </w:r>
          </w:p>
          <w:p w14:paraId="772532D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药品上市许可持有人对药品生产企业出厂放行的药品进行审核，不符合国家药品标准的，不得放行。</w:t>
            </w:r>
          </w:p>
          <w:p w14:paraId="30F16B7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质量负责人应当确保在每批次药品放行前完成对生产记录、检验记录的审核，确保与质量有关的变更按规定得到审核和批准，确保所有重大偏差和检验超标已经过调查并得到及时处理。</w:t>
            </w:r>
          </w:p>
        </w:tc>
        <w:tc>
          <w:tcPr>
            <w:tcW w:w="5505" w:type="dxa"/>
            <w:vAlign w:val="center"/>
          </w:tcPr>
          <w:p w14:paraId="0047B9C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《中华人民共和国药品管理法》第三十三条、第四十七条；《药品生产监督管理办法》第三十七条；《药品上市许可持有人落实药品质量安全主体责任监督管理规定》第十五条、第二十五条。</w:t>
            </w:r>
          </w:p>
        </w:tc>
      </w:tr>
      <w:tr w14:paraId="49A6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745" w:type="dxa"/>
            <w:vMerge w:val="restart"/>
            <w:vAlign w:val="center"/>
          </w:tcPr>
          <w:p w14:paraId="0699DA0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放行与追溯管理</w:t>
            </w:r>
          </w:p>
        </w:tc>
        <w:tc>
          <w:tcPr>
            <w:tcW w:w="742" w:type="dxa"/>
            <w:vAlign w:val="center"/>
          </w:tcPr>
          <w:p w14:paraId="4599A22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58</w:t>
            </w:r>
          </w:p>
        </w:tc>
        <w:tc>
          <w:tcPr>
            <w:tcW w:w="8497" w:type="dxa"/>
            <w:vAlign w:val="center"/>
          </w:tcPr>
          <w:p w14:paraId="262121E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应当确保药品储存、运输活动符合药品经营质量管理规范等要求。委托储存、运输药品的，应当对受托方的质量保证能力和风险管理能力进行评估，与其签订委托协议和质量协议，约定药品质量责任、操作规程等内容，并对受托方储存、运输情况定期审核，确保储存、运输过程符合药品经营质量管理规范和药品的贮藏条件要求。</w:t>
            </w:r>
          </w:p>
        </w:tc>
        <w:tc>
          <w:tcPr>
            <w:tcW w:w="5505" w:type="dxa"/>
            <w:vAlign w:val="center"/>
          </w:tcPr>
          <w:p w14:paraId="43FC26B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《中华人民共和国药品管理法》第三十五条；《药品上市许可持有人落实药品质量安全主体责任监督管理规定》第十七条。</w:t>
            </w:r>
          </w:p>
        </w:tc>
      </w:tr>
      <w:tr w14:paraId="7E30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45" w:type="dxa"/>
            <w:vMerge w:val="continue"/>
            <w:vAlign w:val="center"/>
          </w:tcPr>
          <w:p w14:paraId="70E4C6E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2CF60D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59</w:t>
            </w:r>
          </w:p>
        </w:tc>
        <w:tc>
          <w:tcPr>
            <w:tcW w:w="8497" w:type="dxa"/>
            <w:vAlign w:val="center"/>
          </w:tcPr>
          <w:p w14:paraId="51F610D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应当建立并实施药品追溯制度，按要求自建或者委托第三方建设信息化追溯系统，在药品各级销售包装单元赋予药品追溯标示，按照规定提供追溯信息，通过信息化手段实施药品追溯，及时准确记录、保存药品追溯数据，并按相关要求提供追溯信息。</w:t>
            </w:r>
          </w:p>
        </w:tc>
        <w:tc>
          <w:tcPr>
            <w:tcW w:w="5505" w:type="dxa"/>
            <w:vAlign w:val="center"/>
          </w:tcPr>
          <w:p w14:paraId="1F0FB16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《中华人民共和国药品管理法》第三十六条；《药品生产监督管理办法》第四条；《药品上市许可持有人落实药品质量安全主体责任监督管理规定》第十八条。</w:t>
            </w:r>
          </w:p>
        </w:tc>
      </w:tr>
      <w:tr w14:paraId="15D4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745" w:type="dxa"/>
            <w:vMerge w:val="continue"/>
            <w:vAlign w:val="center"/>
          </w:tcPr>
          <w:p w14:paraId="52A1F3D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160508E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60</w:t>
            </w:r>
          </w:p>
        </w:tc>
        <w:tc>
          <w:tcPr>
            <w:tcW w:w="8497" w:type="dxa"/>
            <w:vAlign w:val="center"/>
          </w:tcPr>
          <w:p w14:paraId="13E873A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药品上市许可持有人和生产企业应履行药品信息化追溯管理责任，按照统一药品追溯编码要求，对产品各级销售包装单元赋以唯一追溯标识，以实现信息化追溯。</w:t>
            </w:r>
          </w:p>
        </w:tc>
        <w:tc>
          <w:tcPr>
            <w:tcW w:w="5505" w:type="dxa"/>
            <w:vAlign w:val="center"/>
          </w:tcPr>
          <w:p w14:paraId="7522C7E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《中华人民共和国药品管理法》第三十六条；《国家药监局关于药品信息化追溯体系建设的指导意见》（国药监药管〔2018〕35号）第五点第二条。</w:t>
            </w:r>
          </w:p>
        </w:tc>
      </w:tr>
      <w:tr w14:paraId="0338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45" w:type="dxa"/>
            <w:vMerge w:val="restart"/>
            <w:vAlign w:val="center"/>
          </w:tcPr>
          <w:p w14:paraId="2D1CEC8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召回管理</w:t>
            </w:r>
          </w:p>
        </w:tc>
        <w:tc>
          <w:tcPr>
            <w:tcW w:w="742" w:type="dxa"/>
            <w:vAlign w:val="center"/>
          </w:tcPr>
          <w:p w14:paraId="00AE2D8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61</w:t>
            </w:r>
          </w:p>
        </w:tc>
        <w:tc>
          <w:tcPr>
            <w:tcW w:w="8497" w:type="dxa"/>
            <w:vAlign w:val="center"/>
          </w:tcPr>
          <w:p w14:paraId="4D60785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应当建立和完善药品召回制度，收集药品安全的相关信息，对可能具有安全隐患的药品进行调查、评估，召回存在安全隐患的药品。</w:t>
            </w:r>
          </w:p>
        </w:tc>
        <w:tc>
          <w:tcPr>
            <w:tcW w:w="5505" w:type="dxa"/>
            <w:vAlign w:val="center"/>
          </w:tcPr>
          <w:p w14:paraId="6E74142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《中华人民共和国药品管理法》第八十二条；《药品召回管理办法》第五条。</w:t>
            </w:r>
          </w:p>
        </w:tc>
      </w:tr>
      <w:tr w14:paraId="6DA3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45" w:type="dxa"/>
            <w:vMerge w:val="continue"/>
            <w:vAlign w:val="center"/>
          </w:tcPr>
          <w:p w14:paraId="5788492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48C614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62</w:t>
            </w:r>
          </w:p>
        </w:tc>
        <w:tc>
          <w:tcPr>
            <w:tcW w:w="8497" w:type="dxa"/>
            <w:vAlign w:val="center"/>
          </w:tcPr>
          <w:p w14:paraId="05F6D51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存在质量问题或者其他安全隐患的，药品上市许可持有人应当立即停止销售，告知相关药品经营企业和医疗机构停止销售和使用，召回已销售的药品，及时公开召回信息，必要时应当立即停止生产，并将药品召回和处理情况向省、自治区、直辖市人民政府药品监督管理部门和卫生健康主管部门报告。</w:t>
            </w:r>
          </w:p>
        </w:tc>
        <w:tc>
          <w:tcPr>
            <w:tcW w:w="5505" w:type="dxa"/>
            <w:vAlign w:val="center"/>
          </w:tcPr>
          <w:p w14:paraId="5919B01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《中华人民共和国药品管理法》第八十二条第一款。</w:t>
            </w:r>
          </w:p>
        </w:tc>
      </w:tr>
      <w:tr w14:paraId="43FB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745" w:type="dxa"/>
            <w:vMerge w:val="continue"/>
            <w:vAlign w:val="center"/>
          </w:tcPr>
          <w:p w14:paraId="02E07F2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2C7F19F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63</w:t>
            </w:r>
          </w:p>
        </w:tc>
        <w:tc>
          <w:tcPr>
            <w:tcW w:w="8497" w:type="dxa"/>
            <w:vAlign w:val="center"/>
          </w:tcPr>
          <w:p w14:paraId="56D3CE6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在作出药品召回决定后，应当制定召回计划并组织实施，一级召回在24小时内，二级召回在48小时内，三级召回在72小时内，通知到有关药品经营企业、使用单位停止销售和使用，同时向所在地省、自治区、直辖市药品监督管理部门报告。对上报的召回计划进行变更的，应当及时报药品监督管理部门备案。</w:t>
            </w:r>
          </w:p>
        </w:tc>
        <w:tc>
          <w:tcPr>
            <w:tcW w:w="5505" w:type="dxa"/>
            <w:vAlign w:val="center"/>
          </w:tcPr>
          <w:p w14:paraId="18EFD02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《中华人民共和国药品管理法》第八十二条；《药品召回管理法》第十六条、第二十条。</w:t>
            </w:r>
          </w:p>
        </w:tc>
      </w:tr>
      <w:tr w14:paraId="63EF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745" w:type="dxa"/>
            <w:vMerge w:val="restart"/>
            <w:vAlign w:val="center"/>
          </w:tcPr>
          <w:p w14:paraId="4EABE1D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召回管理</w:t>
            </w:r>
          </w:p>
        </w:tc>
        <w:tc>
          <w:tcPr>
            <w:tcW w:w="742" w:type="dxa"/>
            <w:vAlign w:val="center"/>
          </w:tcPr>
          <w:p w14:paraId="538CDB4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64</w:t>
            </w:r>
          </w:p>
        </w:tc>
        <w:tc>
          <w:tcPr>
            <w:tcW w:w="8497" w:type="dxa"/>
            <w:vAlign w:val="center"/>
          </w:tcPr>
          <w:p w14:paraId="26289B6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在启动药品召回后，一级召回在1日内，二级召回在3日内，三级召回在7日内，应当将调查评估报告和召回计划提交给所在地省、自治区、直辖市药品监督管理部门备案。对召回药品的处理应当有详细的记录，并向所在地省、自治区、直辖市药品监督管理部门报告。必须销毁的药品，应当在药品监督管理部门监督下销毁。在召回完成后，应当对召回效果进行评价，向所在地省、自治区、直辖市药品监督管理部门提交药品召回总结报告。</w:t>
            </w:r>
          </w:p>
        </w:tc>
        <w:tc>
          <w:tcPr>
            <w:tcW w:w="5505" w:type="dxa"/>
            <w:vAlign w:val="center"/>
          </w:tcPr>
          <w:p w14:paraId="171C962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《中华人民共和国药品管理法》第八十二条；《药品召回管理法》第十七条、第二十二条、第二十三条。</w:t>
            </w:r>
          </w:p>
        </w:tc>
      </w:tr>
      <w:tr w14:paraId="0A47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45" w:type="dxa"/>
            <w:vMerge w:val="continue"/>
            <w:vAlign w:val="center"/>
          </w:tcPr>
          <w:p w14:paraId="48427F3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8AA09D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65</w:t>
            </w:r>
          </w:p>
        </w:tc>
        <w:tc>
          <w:tcPr>
            <w:tcW w:w="8497" w:type="dxa"/>
            <w:vAlign w:val="center"/>
          </w:tcPr>
          <w:p w14:paraId="65F7243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药品上市许可持有人、药品生产企业应当制定本单位的药品安全事件处置方案，并组织开展培训和应急演练。</w:t>
            </w:r>
          </w:p>
        </w:tc>
        <w:tc>
          <w:tcPr>
            <w:tcW w:w="5505" w:type="dxa"/>
            <w:vAlign w:val="center"/>
          </w:tcPr>
          <w:p w14:paraId="36F2CF5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《中华人民共和国药品管理法》第一百零八条。</w:t>
            </w:r>
          </w:p>
        </w:tc>
      </w:tr>
      <w:tr w14:paraId="264C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745" w:type="dxa"/>
            <w:vMerge w:val="restart"/>
            <w:vAlign w:val="center"/>
          </w:tcPr>
          <w:p w14:paraId="219FAF0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药物警戒</w:t>
            </w:r>
          </w:p>
        </w:tc>
        <w:tc>
          <w:tcPr>
            <w:tcW w:w="742" w:type="dxa"/>
            <w:vAlign w:val="center"/>
          </w:tcPr>
          <w:p w14:paraId="1593579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66</w:t>
            </w:r>
          </w:p>
        </w:tc>
        <w:tc>
          <w:tcPr>
            <w:tcW w:w="8497" w:type="dxa"/>
            <w:vAlign w:val="center"/>
          </w:tcPr>
          <w:p w14:paraId="154F8A57">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上市许可持有人应当建立药物警戒体系，按照药物警戒质量管理规范开展药物警戒工作。药品上市许可持有人、药品生产企业应当经常考察本单位的药品质量、疗效和不良反应。发现疑似不良反应的，应当及时按照要求报告。持有人应当建立药物警戒体系，设立专门的药物警戒部门，通过体系的有效运行和维护，监测、识别、评</w:t>
            </w:r>
            <w:r>
              <w:rPr>
                <w:rFonts w:hint="eastAsia" w:ascii="方正仿宋_GBK" w:hAnsi="方正仿宋_GBK" w:eastAsia="方正仿宋_GBK" w:cs="方正仿宋_GBK"/>
                <w:spacing w:val="-6"/>
                <w:kern w:val="0"/>
                <w:sz w:val="18"/>
                <w:szCs w:val="18"/>
              </w:rPr>
              <w:t>估和控制药品不良反应及其他与用药有关的有害反应，最大限度地降低药品安全风险。</w:t>
            </w:r>
          </w:p>
        </w:tc>
        <w:tc>
          <w:tcPr>
            <w:tcW w:w="5505" w:type="dxa"/>
            <w:vAlign w:val="center"/>
          </w:tcPr>
          <w:p w14:paraId="3CBB020F">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《中华人民共和国药品管理法》第七十七条、第八十条；《药品生产监督管理办法》第四十一条；《药物警戒质量管理规范》第三条；《药品上市许可持有人落实药品质量安全主体责任监督管理规定》第二十条。</w:t>
            </w:r>
          </w:p>
        </w:tc>
      </w:tr>
      <w:tr w14:paraId="067E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45" w:type="dxa"/>
            <w:vMerge w:val="continue"/>
            <w:vAlign w:val="center"/>
          </w:tcPr>
          <w:p w14:paraId="628A245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6760EF5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67</w:t>
            </w:r>
          </w:p>
        </w:tc>
        <w:tc>
          <w:tcPr>
            <w:tcW w:w="8497" w:type="dxa"/>
            <w:vAlign w:val="center"/>
          </w:tcPr>
          <w:p w14:paraId="1A90A22D">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药品上市许可持有人和药品注册申请人应当按要求建立并持续完善药物警戒体系，规范开展药物警戒活动。</w:t>
            </w:r>
          </w:p>
        </w:tc>
        <w:tc>
          <w:tcPr>
            <w:tcW w:w="5505" w:type="dxa"/>
            <w:vAlign w:val="center"/>
          </w:tcPr>
          <w:p w14:paraId="35682BAC">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《中华人民共和国药品管理法》第七十七条、第八十条；国家药监局关于发布《药物警戒质量管理规范》的公告（2021年第65号）二。</w:t>
            </w:r>
          </w:p>
        </w:tc>
      </w:tr>
      <w:tr w14:paraId="5098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vMerge w:val="continue"/>
            <w:vAlign w:val="center"/>
          </w:tcPr>
          <w:p w14:paraId="6B05033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4CF6738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68</w:t>
            </w:r>
          </w:p>
        </w:tc>
        <w:tc>
          <w:tcPr>
            <w:tcW w:w="8497" w:type="dxa"/>
            <w:vAlign w:val="center"/>
          </w:tcPr>
          <w:p w14:paraId="68EE9211">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药品上市许可持有人应当在国家药品不良反应监测系统中完成信息注册。</w:t>
            </w:r>
          </w:p>
        </w:tc>
        <w:tc>
          <w:tcPr>
            <w:tcW w:w="5505" w:type="dxa"/>
            <w:vAlign w:val="center"/>
          </w:tcPr>
          <w:p w14:paraId="733AC745">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pacing w:val="-6"/>
                <w:kern w:val="0"/>
                <w:sz w:val="18"/>
                <w:szCs w:val="18"/>
              </w:rPr>
            </w:pPr>
            <w:r>
              <w:rPr>
                <w:rFonts w:hint="eastAsia" w:ascii="方正仿宋_GBK" w:hAnsi="方正仿宋_GBK" w:eastAsia="方正仿宋_GBK" w:cs="方正仿宋_GBK"/>
                <w:spacing w:val="-6"/>
                <w:kern w:val="0"/>
                <w:sz w:val="18"/>
                <w:szCs w:val="18"/>
              </w:rPr>
              <w:t>《中华人民共和国药品管理法》第八十一条；国家药监局关于发布《药物警戒质量管理规范》的公告（2021年第65号）三。</w:t>
            </w:r>
          </w:p>
        </w:tc>
      </w:tr>
      <w:tr w14:paraId="50F1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745" w:type="dxa"/>
            <w:vMerge w:val="restart"/>
            <w:vAlign w:val="center"/>
          </w:tcPr>
          <w:p w14:paraId="5B372FA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配合监管工作</w:t>
            </w:r>
          </w:p>
        </w:tc>
        <w:tc>
          <w:tcPr>
            <w:tcW w:w="742" w:type="dxa"/>
            <w:vAlign w:val="center"/>
          </w:tcPr>
          <w:p w14:paraId="43AFE21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69</w:t>
            </w:r>
          </w:p>
        </w:tc>
        <w:tc>
          <w:tcPr>
            <w:tcW w:w="8497" w:type="dxa"/>
            <w:vAlign w:val="center"/>
          </w:tcPr>
          <w:p w14:paraId="370CD7EA">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监督管理部门监督检查时，药品上市许可持有人和药品生产企业应当根据检查需要说明情况、提供有关材料：（一）药品生产场地管理文件以及变更材料；（二）药品生产企业接受监督检查及整改落实情况；（三）药品质量不合格的处理情况；（四）药物警戒机构、人员、制度制定情况以及疑似药品不良反应监测、识别、评估、控制情况；（五）实施附条件批准的品种，开展上市后研究的材料；（六）需要审查的其他必要材料。</w:t>
            </w:r>
          </w:p>
        </w:tc>
        <w:tc>
          <w:tcPr>
            <w:tcW w:w="5505" w:type="dxa"/>
            <w:vAlign w:val="center"/>
          </w:tcPr>
          <w:p w14:paraId="482391E5">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《中华人民共和国药品管理法》第九十九条；《药品生产监督管理办法》第五十七条。</w:t>
            </w:r>
          </w:p>
        </w:tc>
      </w:tr>
      <w:tr w14:paraId="259E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745" w:type="dxa"/>
            <w:vMerge w:val="continue"/>
            <w:vAlign w:val="center"/>
          </w:tcPr>
          <w:p w14:paraId="7BC975A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1F592A9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70</w:t>
            </w:r>
          </w:p>
        </w:tc>
        <w:tc>
          <w:tcPr>
            <w:tcW w:w="8497" w:type="dxa"/>
            <w:vAlign w:val="center"/>
          </w:tcPr>
          <w:p w14:paraId="401FF464">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应当配合药品监督管理部门的监督检查和抽查检验，并配合对相关方的延伸检查，不得拒绝、逃避监督检查，不得干扰、阻扰或拒绝抽查检验，不得伪造、销毁、隐匿有关证据材料，不得擅自动用查封、扣押物品。药品生产、经营和使用单位没有正当理由，拒绝接受抽查检验的，国务院药品监督管理部门和省级药品监督管理部门可以宣布停止该单位拒绝抽查检验的药品上市销售和使用。</w:t>
            </w:r>
          </w:p>
        </w:tc>
        <w:tc>
          <w:tcPr>
            <w:tcW w:w="5505" w:type="dxa"/>
            <w:vAlign w:val="center"/>
          </w:tcPr>
          <w:p w14:paraId="09257058">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《中华人民共和国药品管理法》第一百条；《药品质量抽查检验管理办法》第六条、第五十一条；《药品上市许可持有人落实药品质量安全主体责任监督管理规定》第三十二条。</w:t>
            </w:r>
          </w:p>
        </w:tc>
      </w:tr>
      <w:tr w14:paraId="0370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vAlign w:val="center"/>
          </w:tcPr>
          <w:p w14:paraId="144A7FB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配合监管工作</w:t>
            </w:r>
          </w:p>
        </w:tc>
        <w:tc>
          <w:tcPr>
            <w:tcW w:w="742" w:type="dxa"/>
            <w:vAlign w:val="center"/>
          </w:tcPr>
          <w:p w14:paraId="094C95C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71</w:t>
            </w:r>
          </w:p>
        </w:tc>
        <w:tc>
          <w:tcPr>
            <w:tcW w:w="8497" w:type="dxa"/>
            <w:vAlign w:val="center"/>
          </w:tcPr>
          <w:p w14:paraId="76509E3F">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现场检查结束后，被检查单位应当针对缺陷项目进行整改，于30个工作日内向派出检查单位提交整改报告；缺陷项目经派出检查单位审核后作出调整重新发放的，整改时限可延长10个工作日；无法按期完成整改的，应当制定切实可行的整改计划，整改完成后，应当补充提交相应的整改报告。被检查单位在整改期间应当主动结合发现的缺陷和风险，采取必要的风险控制措施。</w:t>
            </w:r>
          </w:p>
          <w:p w14:paraId="205D4B25">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整改报告应当至少包含缺陷描述、缺陷调查分析、风险评估、风险控制、整改审核、整改效果评价等内容，针对缺陷成因及风险评估情况，逐项描述风险控制措施及实施结果。</w:t>
            </w:r>
          </w:p>
          <w:p w14:paraId="2B9A6288">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被检查单位按照整改计划完成整改后，应当及时将整改情况形成补充整改报告报送派出检查单位，必要时，派出检查单位可以对被检查单位整改落实情况进行现场检查。</w:t>
            </w:r>
          </w:p>
        </w:tc>
        <w:tc>
          <w:tcPr>
            <w:tcW w:w="5505" w:type="dxa"/>
            <w:vAlign w:val="center"/>
          </w:tcPr>
          <w:p w14:paraId="394F5506">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《中华人民共和国药品管理法》第九十九条；《药品检查管理办法（试行）》第三十三条。</w:t>
            </w:r>
          </w:p>
        </w:tc>
      </w:tr>
      <w:tr w14:paraId="16F0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45" w:type="dxa"/>
            <w:vMerge w:val="restart"/>
            <w:vAlign w:val="center"/>
          </w:tcPr>
          <w:p w14:paraId="34EDBBC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药品安全自查报告</w:t>
            </w:r>
          </w:p>
        </w:tc>
        <w:tc>
          <w:tcPr>
            <w:tcW w:w="742" w:type="dxa"/>
            <w:vAlign w:val="center"/>
          </w:tcPr>
          <w:p w14:paraId="79259CF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72</w:t>
            </w:r>
          </w:p>
        </w:tc>
        <w:tc>
          <w:tcPr>
            <w:tcW w:w="8497" w:type="dxa"/>
            <w:vAlign w:val="center"/>
          </w:tcPr>
          <w:p w14:paraId="793A890E">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药品上市许可持有人、药品生产企业应当每年进行自检，监控药品生产质量管理规范的实施情况，评估企业是否符合相关法规要求，并提出必要的纠正和预防措施。</w:t>
            </w:r>
          </w:p>
        </w:tc>
        <w:tc>
          <w:tcPr>
            <w:tcW w:w="5505" w:type="dxa"/>
            <w:vAlign w:val="center"/>
          </w:tcPr>
          <w:p w14:paraId="1ECBCF14">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《中华人民共和国药品管理法》第四十三条；《药品生产监督管理办法》第三十八条；《药品上市许可持有人落实药品质量安全主体责任监督管理规定》第二十八条。</w:t>
            </w:r>
          </w:p>
        </w:tc>
      </w:tr>
      <w:tr w14:paraId="2B5A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745" w:type="dxa"/>
            <w:vMerge w:val="continue"/>
            <w:vAlign w:val="center"/>
          </w:tcPr>
          <w:p w14:paraId="6FAA8F2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1DC6C8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73</w:t>
            </w:r>
          </w:p>
        </w:tc>
        <w:tc>
          <w:tcPr>
            <w:tcW w:w="8497" w:type="dxa"/>
            <w:vAlign w:val="center"/>
          </w:tcPr>
          <w:p w14:paraId="5439288C">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质量负责人应当结合产品风险定期组织对生产管理、质量管理等情况进行回顾分析，原则上每季度不少于一次对重复性风险和新出现风险进行研判，制定纠正预防措施，持续健全质量管理体系。企业负责人应当定期听取质量负责人质量管理工作汇报，充分听取质量负责人关于药品质量风险防控的意见和建议，对实施质量风险防控提供必要的条件和资源。</w:t>
            </w:r>
          </w:p>
        </w:tc>
        <w:tc>
          <w:tcPr>
            <w:tcW w:w="5505" w:type="dxa"/>
            <w:vAlign w:val="center"/>
          </w:tcPr>
          <w:p w14:paraId="53EDA8D1">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《中华人民共和国药品管理法》第四十三条；《药品上市许可持有人落实药品质量安全主体责任监督管理规定》第二十六条。</w:t>
            </w:r>
          </w:p>
        </w:tc>
      </w:tr>
      <w:tr w14:paraId="32E5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45" w:type="dxa"/>
            <w:vMerge w:val="continue"/>
            <w:vAlign w:val="center"/>
          </w:tcPr>
          <w:p w14:paraId="56EFDBE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5AB392A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74</w:t>
            </w:r>
          </w:p>
        </w:tc>
        <w:tc>
          <w:tcPr>
            <w:tcW w:w="8497" w:type="dxa"/>
            <w:vAlign w:val="center"/>
          </w:tcPr>
          <w:p w14:paraId="7E5FBC08">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持有人应当定期进行自检或者内审，监控药品生产质量管理规范、药品经营质量管理规范、药物警戒质量管理规范等实施情况。自检或者内审应当有方案、有记录，自检完成后</w:t>
            </w:r>
            <w:r>
              <w:rPr>
                <w:rFonts w:hint="eastAsia" w:ascii="方正仿宋_GBK" w:hAnsi="方正仿宋_GBK" w:eastAsia="方正仿宋_GBK" w:cs="方正仿宋_GBK"/>
                <w:spacing w:val="-6"/>
                <w:kern w:val="0"/>
                <w:sz w:val="18"/>
                <w:szCs w:val="18"/>
              </w:rPr>
              <w:t>应当形成自检报告，内容至少包括自检的基本情况、评价的结论以及纠正和预防措施的建议。</w:t>
            </w:r>
          </w:p>
        </w:tc>
        <w:tc>
          <w:tcPr>
            <w:tcW w:w="5505" w:type="dxa"/>
            <w:vAlign w:val="center"/>
          </w:tcPr>
          <w:p w14:paraId="506C9381">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《药品上市许可持有人落实药品质量安全主体责任监督管理规定》第二十八条。</w:t>
            </w:r>
          </w:p>
        </w:tc>
      </w:tr>
      <w:tr w14:paraId="4081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745" w:type="dxa"/>
            <w:vMerge w:val="restart"/>
            <w:vAlign w:val="center"/>
          </w:tcPr>
          <w:p w14:paraId="7102096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药品安全自查报告</w:t>
            </w:r>
          </w:p>
        </w:tc>
        <w:tc>
          <w:tcPr>
            <w:tcW w:w="742" w:type="dxa"/>
            <w:vAlign w:val="center"/>
          </w:tcPr>
          <w:p w14:paraId="39CA4D3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75</w:t>
            </w:r>
          </w:p>
        </w:tc>
        <w:tc>
          <w:tcPr>
            <w:tcW w:w="8497" w:type="dxa"/>
            <w:vAlign w:val="center"/>
          </w:tcPr>
          <w:p w14:paraId="1FB0BF2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上市许可持有人应当建立年度报告制度，每年将药品生产销售、上市后研究、风险管理等情况按照规定向省、自治区、直辖市人民政府药品监督管理部门报告，药品年度报告的信息应当真实、准确、完整和可追溯，符合法律、法规及有关规定要求。持有人应当指定专门机构或者人员负责年度报告，年度报告应当经企业法定代表人或者企业负责人（或者书面授权人）批准后报告。接受持有人委托生产、委托销售的企业以及其他从事药品生产经营相关活动的单位和个人应当配合持有人做好年度报告工作。</w:t>
            </w:r>
          </w:p>
        </w:tc>
        <w:tc>
          <w:tcPr>
            <w:tcW w:w="5505" w:type="dxa"/>
            <w:vAlign w:val="center"/>
          </w:tcPr>
          <w:p w14:paraId="3D25247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《中华人民共和国药品管理法》第三十七条；《药品生产监督管理办法》第三十九条；《药品年度报告管理规定》第七条；《药品上市许可持有人落实药品质量安全主体责任监督管理规定》第二十七条。</w:t>
            </w:r>
          </w:p>
        </w:tc>
      </w:tr>
      <w:tr w14:paraId="79F8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45" w:type="dxa"/>
            <w:vMerge w:val="continue"/>
            <w:vAlign w:val="center"/>
          </w:tcPr>
          <w:p w14:paraId="3DD12A3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ABD0DB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76</w:t>
            </w:r>
          </w:p>
        </w:tc>
        <w:tc>
          <w:tcPr>
            <w:tcW w:w="8497" w:type="dxa"/>
            <w:vAlign w:val="center"/>
          </w:tcPr>
          <w:p w14:paraId="70820E2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原辅包登记人应在每年第一季度通过申请人之窗提交上一年度报告。年度报告中应包括上一年度产品变更汇总，如无任何变更应有相关声明。年度报告中应有相关制剂产品信息，如企业名称、药品名称等。</w:t>
            </w:r>
          </w:p>
        </w:tc>
        <w:tc>
          <w:tcPr>
            <w:tcW w:w="5505" w:type="dxa"/>
            <w:vAlign w:val="center"/>
          </w:tcPr>
          <w:p w14:paraId="3CFC3B5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pacing w:val="-4"/>
                <w:kern w:val="0"/>
                <w:sz w:val="18"/>
                <w:szCs w:val="18"/>
              </w:rPr>
            </w:pPr>
            <w:r>
              <w:rPr>
                <w:rFonts w:hint="eastAsia" w:ascii="方正仿宋_GBK" w:hAnsi="方正仿宋_GBK" w:eastAsia="方正仿宋_GBK" w:cs="方正仿宋_GBK"/>
                <w:spacing w:val="-4"/>
                <w:kern w:val="0"/>
                <w:sz w:val="18"/>
                <w:szCs w:val="18"/>
              </w:rPr>
              <w:t>《中华人民共和国药品管理法》第三十七条；《关于进一步完善药品关联审评审批和监管工作有关事宜的公告》（2019第56号）第十五条；《药品年度报告管理规定》第四条。</w:t>
            </w:r>
          </w:p>
        </w:tc>
      </w:tr>
      <w:tr w14:paraId="2995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vMerge w:val="restart"/>
            <w:vAlign w:val="center"/>
          </w:tcPr>
          <w:p w14:paraId="0613CEE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药品安全事件处置</w:t>
            </w:r>
          </w:p>
        </w:tc>
        <w:tc>
          <w:tcPr>
            <w:tcW w:w="742" w:type="dxa"/>
            <w:vAlign w:val="center"/>
          </w:tcPr>
          <w:p w14:paraId="04B48A9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77</w:t>
            </w:r>
          </w:p>
        </w:tc>
        <w:tc>
          <w:tcPr>
            <w:tcW w:w="8497" w:type="dxa"/>
            <w:vAlign w:val="center"/>
          </w:tcPr>
          <w:p w14:paraId="2926B35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疫苗上市许可持有人应当制定疫苗安全事件处置方案，定期检查各项防范措施的落实情况，及时消除安全隐患。发生疫苗安全事件，疫苗上市许可持有人应当立即向国务院药品监督管理部门或者省、自治区、直辖市人民政府药品监督管理部门报告。</w:t>
            </w:r>
          </w:p>
          <w:p w14:paraId="65074A9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应当制定药品安全事件处置方案，并定期组织开展培训和应急演练。发生与药品质量有关的重大安全事件，应当立即对有关药品及原料、辅料及直接接触药品的包装材料和容器、相关生产线等采取封存等控制措施，并立即报告所在地省、自治区、直辖市药品监督管理部门和有关部门。</w:t>
            </w:r>
          </w:p>
        </w:tc>
        <w:tc>
          <w:tcPr>
            <w:tcW w:w="5505" w:type="dxa"/>
            <w:vAlign w:val="center"/>
          </w:tcPr>
          <w:p w14:paraId="33EF450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《中华人民共和国疫苗管理法》第七十八条第二款、第三款；《药品生产监督管理办法》第六十五条；《药品上市许可持有人落实药品质量安全主体责任监督管理规定》第二十二条。</w:t>
            </w:r>
          </w:p>
        </w:tc>
      </w:tr>
      <w:tr w14:paraId="1FEE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745" w:type="dxa"/>
            <w:vMerge w:val="continue"/>
            <w:vAlign w:val="center"/>
          </w:tcPr>
          <w:p w14:paraId="1C5D2A3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B083E4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78</w:t>
            </w:r>
          </w:p>
        </w:tc>
        <w:tc>
          <w:tcPr>
            <w:tcW w:w="8497" w:type="dxa"/>
            <w:vAlign w:val="center"/>
          </w:tcPr>
          <w:p w14:paraId="56A45D3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应当具备法律要求的责任赔偿能力，建立责任赔偿的相关管理程序和制度，实行赔偿首负责任制。责任赔偿能力应当与产品的风险程度、市场规模和人身损害赔偿标准等因素相匹配。持有人应当具有责任赔偿能力相关证明或者相应的商业保险购买合同等。</w:t>
            </w:r>
          </w:p>
        </w:tc>
        <w:tc>
          <w:tcPr>
            <w:tcW w:w="5505" w:type="dxa"/>
            <w:vAlign w:val="center"/>
          </w:tcPr>
          <w:p w14:paraId="59B4661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《中华人民共和国药品管理法》第四十条；《药品上市许可持有人落实药品质量安全主体责任监督管理规定》第二十四条。</w:t>
            </w:r>
          </w:p>
        </w:tc>
      </w:tr>
      <w:tr w14:paraId="48C7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745" w:type="dxa"/>
            <w:vMerge w:val="restart"/>
            <w:vAlign w:val="center"/>
          </w:tcPr>
          <w:p w14:paraId="2E053EA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委托销售、储存、运输要求</w:t>
            </w:r>
          </w:p>
        </w:tc>
        <w:tc>
          <w:tcPr>
            <w:tcW w:w="742" w:type="dxa"/>
            <w:vAlign w:val="center"/>
          </w:tcPr>
          <w:p w14:paraId="7E50B91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79</w:t>
            </w:r>
          </w:p>
        </w:tc>
        <w:tc>
          <w:tcPr>
            <w:tcW w:w="8497" w:type="dxa"/>
            <w:vAlign w:val="center"/>
          </w:tcPr>
          <w:p w14:paraId="729DFA1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可委托符合药品经营质量管理规范冷藏冷冻药品运输、储存条件的企业配送、区域仓储疫苗。持有人应当对疫苗配送企业的配送能力进行评估，严格控制配送企业数量，保证配送过程持续符合法定要求。持有人在同一省级行政区域内选取疫苗区域配送企业原则上不得超过2家。</w:t>
            </w:r>
          </w:p>
        </w:tc>
        <w:tc>
          <w:tcPr>
            <w:tcW w:w="5505" w:type="dxa"/>
            <w:vAlign w:val="center"/>
          </w:tcPr>
          <w:p w14:paraId="32F5709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《中华人民共和国疫苗管理法》第三十六条；《疫苗生产流通管理规定》第二十五条。</w:t>
            </w:r>
          </w:p>
        </w:tc>
      </w:tr>
      <w:tr w14:paraId="4645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45" w:type="dxa"/>
            <w:vMerge w:val="continue"/>
            <w:vAlign w:val="center"/>
          </w:tcPr>
          <w:p w14:paraId="03EF815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5178852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80</w:t>
            </w:r>
          </w:p>
        </w:tc>
        <w:tc>
          <w:tcPr>
            <w:tcW w:w="8497" w:type="dxa"/>
            <w:vAlign w:val="center"/>
          </w:tcPr>
          <w:p w14:paraId="2882139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持有人委托配送疫苗的，应当及时将委托配送疫苗品种信息及受托储存、运输单位配送条件、配送能力及信息化追溯能力等评估情况分别向持有人所在地和接收疫苗所在地省级药品监督管理部门报告。</w:t>
            </w:r>
          </w:p>
        </w:tc>
        <w:tc>
          <w:tcPr>
            <w:tcW w:w="5505" w:type="dxa"/>
            <w:vAlign w:val="center"/>
          </w:tcPr>
          <w:p w14:paraId="76D4BCF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《中华人民共和国疫苗管理法》第三十六条；《疫苗生产流通管理规定》第二十六条。</w:t>
            </w:r>
          </w:p>
        </w:tc>
      </w:tr>
      <w:tr w14:paraId="4DD5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45" w:type="dxa"/>
            <w:vMerge w:val="continue"/>
            <w:vAlign w:val="center"/>
          </w:tcPr>
          <w:p w14:paraId="25C41CA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B1F547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81</w:t>
            </w:r>
          </w:p>
        </w:tc>
        <w:tc>
          <w:tcPr>
            <w:tcW w:w="8497" w:type="dxa"/>
            <w:vAlign w:val="center"/>
          </w:tcPr>
          <w:p w14:paraId="434D356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上市许可持有人将其持有的品种委托销售的，接受委托的药品经营企业应当具有相应的经营范围。受托方不得再次委托销售。药品上市许可持有人应当与受托方签订委托协议，明确约定药品质量责任等内容，对受托方销售行为进行监督。</w:t>
            </w:r>
          </w:p>
          <w:p w14:paraId="7429A04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药品上市许可持有人委托销售的，应当向其所在地省、自治区、直辖市药品监督管理部门报告；跨省、自治区、直辖市委托销售的，应当同时报告药品经营企业所在地省、自治区、直辖市药品监督管理部门。</w:t>
            </w:r>
          </w:p>
        </w:tc>
        <w:tc>
          <w:tcPr>
            <w:tcW w:w="5505" w:type="dxa"/>
            <w:vAlign w:val="center"/>
          </w:tcPr>
          <w:p w14:paraId="618F69D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《中华人民共和国药品管理法》第三十四条；《药品经营和使用质量监督管理办法》第三十四条。</w:t>
            </w:r>
          </w:p>
        </w:tc>
      </w:tr>
      <w:tr w14:paraId="166B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745" w:type="dxa"/>
            <w:vMerge w:val="continue"/>
            <w:vAlign w:val="center"/>
          </w:tcPr>
          <w:p w14:paraId="6ABE5E5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06D3A26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82</w:t>
            </w:r>
          </w:p>
        </w:tc>
        <w:tc>
          <w:tcPr>
            <w:tcW w:w="8497" w:type="dxa"/>
            <w:vAlign w:val="center"/>
          </w:tcPr>
          <w:p w14:paraId="57F39C1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上市许可持有人、药品经营企业委托储存、运输药品的，应当对受托方质量保证能力和风险管理能力进行评估，与其签订委托协议，约定药品质量责任、操作规程等内容，对受托方进行监督，并开展定期检查。</w:t>
            </w:r>
          </w:p>
          <w:p w14:paraId="73FC788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药品上市许可持有人委托储存的，应当按规定向药品上市许可持有人、受托方所在地省、自治区、直辖市药品监督管理部门报告。药品经营企业委托储存药品的，按照变更仓库地址办理。</w:t>
            </w:r>
          </w:p>
        </w:tc>
        <w:tc>
          <w:tcPr>
            <w:tcW w:w="5505" w:type="dxa"/>
            <w:vAlign w:val="center"/>
          </w:tcPr>
          <w:p w14:paraId="77144E2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《中华人民共和国药品管理法》第三十五条；《药品经营和使用质量监督管理办法》第四十五条。</w:t>
            </w:r>
          </w:p>
        </w:tc>
      </w:tr>
      <w:tr w14:paraId="2AD3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745" w:type="dxa"/>
            <w:vMerge w:val="restart"/>
            <w:vAlign w:val="center"/>
          </w:tcPr>
          <w:p w14:paraId="7339FB9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标准管理</w:t>
            </w:r>
          </w:p>
        </w:tc>
        <w:tc>
          <w:tcPr>
            <w:tcW w:w="742" w:type="dxa"/>
            <w:vAlign w:val="center"/>
          </w:tcPr>
          <w:p w14:paraId="1BBDB03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83</w:t>
            </w:r>
          </w:p>
        </w:tc>
        <w:tc>
          <w:tcPr>
            <w:tcW w:w="8497" w:type="dxa"/>
            <w:vAlign w:val="center"/>
          </w:tcPr>
          <w:p w14:paraId="309BEA0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持有人应当落实药品质量主体责任，按照药品全生命周期管理的理念，持续提升和完善药品注册标准，提升药品的安全、有效与质量可控性。</w:t>
            </w:r>
          </w:p>
          <w:p w14:paraId="798CA1C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国家药品标准制定和修订工作中需要持有人参与或者协助的，持有人应当予以配合。持有人应当及时关注国家药品标准制定和修订进展，对其生产药品执行的药品标准进行适用性评估，并开展相关研究工作。</w:t>
            </w:r>
          </w:p>
        </w:tc>
        <w:tc>
          <w:tcPr>
            <w:tcW w:w="5505" w:type="dxa"/>
            <w:vAlign w:val="center"/>
          </w:tcPr>
          <w:p w14:paraId="0813C12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《中华人民共和国药品管理法》第四十四条；《药品标准管理办法》第八条。</w:t>
            </w:r>
          </w:p>
        </w:tc>
      </w:tr>
      <w:tr w14:paraId="1FA2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45" w:type="dxa"/>
            <w:vMerge w:val="continue"/>
            <w:vAlign w:val="center"/>
          </w:tcPr>
          <w:p w14:paraId="230C30C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6676541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84</w:t>
            </w:r>
          </w:p>
        </w:tc>
        <w:tc>
          <w:tcPr>
            <w:tcW w:w="8497" w:type="dxa"/>
            <w:vAlign w:val="center"/>
          </w:tcPr>
          <w:p w14:paraId="09C1EB8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pacing w:val="-6"/>
                <w:kern w:val="0"/>
                <w:sz w:val="18"/>
                <w:szCs w:val="18"/>
              </w:rPr>
            </w:pPr>
            <w:r>
              <w:rPr>
                <w:rFonts w:hint="eastAsia" w:ascii="方正仿宋_GBK" w:hAnsi="方正仿宋_GBK" w:eastAsia="方正仿宋_GBK" w:cs="方正仿宋_GBK"/>
                <w:kern w:val="0"/>
                <w:sz w:val="18"/>
                <w:szCs w:val="18"/>
              </w:rPr>
              <w:t>药品注册标准发生变更的，持有人应当根据药品上市后变更管理相关规定，进行充分的研</w:t>
            </w:r>
            <w:r>
              <w:rPr>
                <w:rFonts w:hint="eastAsia" w:ascii="方正仿宋_GBK" w:hAnsi="方正仿宋_GBK" w:eastAsia="方正仿宋_GBK" w:cs="方正仿宋_GBK"/>
                <w:spacing w:val="-6"/>
                <w:kern w:val="0"/>
                <w:sz w:val="18"/>
                <w:szCs w:val="18"/>
              </w:rPr>
              <w:t>究评估和必要的验证，按照变更的风险等级提出补充申请、备案或者报告，并按要求执行。</w:t>
            </w:r>
          </w:p>
          <w:p w14:paraId="473420B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药品注册标准的变更，不得降低药品质量控制水平或者对药品质量产生不良影响。</w:t>
            </w:r>
          </w:p>
        </w:tc>
        <w:tc>
          <w:tcPr>
            <w:tcW w:w="5505" w:type="dxa"/>
            <w:vAlign w:val="center"/>
          </w:tcPr>
          <w:p w14:paraId="438A240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《中华人民共和国药品管理法》第七十九条；《药品标准管理办法》第三十条。</w:t>
            </w:r>
          </w:p>
        </w:tc>
      </w:tr>
      <w:tr w14:paraId="4879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45" w:type="dxa"/>
            <w:vMerge w:val="continue"/>
            <w:vAlign w:val="center"/>
          </w:tcPr>
          <w:p w14:paraId="6CF9F92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086E34E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85</w:t>
            </w:r>
          </w:p>
        </w:tc>
        <w:tc>
          <w:tcPr>
            <w:tcW w:w="8497" w:type="dxa"/>
            <w:vAlign w:val="center"/>
          </w:tcPr>
          <w:p w14:paraId="5AB090D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新版国家药品标准颁布后，执行药品注册标准的，持有人应当及时开展相关对比研究工作，评估药品注册标准的项目、方法、限度是否符合新颁布的国家药品标准有关要求。对于需要变更药品注册标准的，持有人应当按照药品上市后变更管理相关规定提出补充申请、备案或者报告，并按要求执行。</w:t>
            </w:r>
          </w:p>
        </w:tc>
        <w:tc>
          <w:tcPr>
            <w:tcW w:w="5505" w:type="dxa"/>
            <w:vAlign w:val="center"/>
          </w:tcPr>
          <w:p w14:paraId="344EB6E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《中华人民共和国药品管理法》第四十四条；《药品标准管理办法》第三十一条。</w:t>
            </w:r>
          </w:p>
        </w:tc>
      </w:tr>
      <w:tr w14:paraId="3EE4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jc w:val="center"/>
        </w:trPr>
        <w:tc>
          <w:tcPr>
            <w:tcW w:w="745" w:type="dxa"/>
            <w:vMerge w:val="continue"/>
            <w:vAlign w:val="center"/>
          </w:tcPr>
          <w:p w14:paraId="03568EE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078038F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86</w:t>
            </w:r>
          </w:p>
        </w:tc>
        <w:tc>
          <w:tcPr>
            <w:tcW w:w="8497" w:type="dxa"/>
            <w:vAlign w:val="center"/>
          </w:tcPr>
          <w:p w14:paraId="3138536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持有人提出涉及药品注册标准变更的补充申请时，应当关注药品注册标准与国家药品标准以及现行技术要求的适用性与执行情况。</w:t>
            </w:r>
          </w:p>
          <w:p w14:paraId="32F94DB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持有人提出药品再注册申请时，应当向药品审评中心或者省级药品监督管理部门说明药品标准适用性与执行情况。</w:t>
            </w:r>
          </w:p>
          <w:p w14:paraId="1EC3F22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对于药品注册证书中明确的涉及药品注册标准提升的要求，持有人应当及时按要求进行研究，提升药品注册标准。</w:t>
            </w:r>
          </w:p>
        </w:tc>
        <w:tc>
          <w:tcPr>
            <w:tcW w:w="5505" w:type="dxa"/>
            <w:vAlign w:val="center"/>
          </w:tcPr>
          <w:p w14:paraId="42A5CB8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《中华人民共和国药品管理法》第四十四条、第七十九条；《药品标准管理办法》第三十二条。</w:t>
            </w:r>
          </w:p>
        </w:tc>
      </w:tr>
      <w:tr w14:paraId="4E15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745" w:type="dxa"/>
            <w:vMerge w:val="restart"/>
            <w:vAlign w:val="center"/>
          </w:tcPr>
          <w:p w14:paraId="79157D3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特殊管理药品（如疫苗、特殊药品等）</w:t>
            </w:r>
          </w:p>
        </w:tc>
        <w:tc>
          <w:tcPr>
            <w:tcW w:w="742" w:type="dxa"/>
            <w:vAlign w:val="center"/>
          </w:tcPr>
          <w:p w14:paraId="3DDC1AC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87</w:t>
            </w:r>
          </w:p>
        </w:tc>
        <w:tc>
          <w:tcPr>
            <w:tcW w:w="8497" w:type="dxa"/>
            <w:vAlign w:val="center"/>
          </w:tcPr>
          <w:p w14:paraId="09933DA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定点生产企业应当严格按照麻醉药品和精神药品年度生产计划安排生产，并依照规定向所在地省、自治区、直辖市人民政府药品监督管理部门报告生产情况。</w:t>
            </w:r>
          </w:p>
          <w:p w14:paraId="022391F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需要以麻醉药品和第一类精神药品为原料生产普通药品的，应当向省级药品监督管理部门报送年度需求计划，由省级药品监督管理部门汇总报国务院药品监督管理部门批准后，向定点生产企业购买。需要以第二类精神药品为原料生产普通药品的，应当向省级药品监督管理部门报送年度需求计划，并向定点批发企业或者定点生产企业购买。</w:t>
            </w:r>
          </w:p>
        </w:tc>
        <w:tc>
          <w:tcPr>
            <w:tcW w:w="5505" w:type="dxa"/>
            <w:vAlign w:val="center"/>
          </w:tcPr>
          <w:p w14:paraId="5359B91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《麻醉药品和精神药品管理条例》第十九条、第三十四条。</w:t>
            </w:r>
          </w:p>
        </w:tc>
      </w:tr>
      <w:tr w14:paraId="6E43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745" w:type="dxa"/>
            <w:vMerge w:val="continue"/>
            <w:vAlign w:val="center"/>
          </w:tcPr>
          <w:p w14:paraId="2FB5D9B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013E106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88</w:t>
            </w:r>
          </w:p>
        </w:tc>
        <w:tc>
          <w:tcPr>
            <w:tcW w:w="8497" w:type="dxa"/>
            <w:vAlign w:val="center"/>
          </w:tcPr>
          <w:p w14:paraId="06D2C42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麻醉药品和第一类精神药品的定点生产企业、使用企业应当设立专库或者专柜储存麻醉药品和第一类精神药品。药品类易制毒化学品生产企业应当配备保障药品类易制毒化学品安全管理的设施，建立层层落实责任制的药品类易制毒化学品管理制度。</w:t>
            </w:r>
          </w:p>
        </w:tc>
        <w:tc>
          <w:tcPr>
            <w:tcW w:w="5505" w:type="dxa"/>
            <w:vAlign w:val="center"/>
          </w:tcPr>
          <w:p w14:paraId="793BC8E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《麻醉药品和精神药品管理条例》第四十七条；《药品类易制毒化学品管理办法》第三十条。</w:t>
            </w:r>
          </w:p>
        </w:tc>
      </w:tr>
      <w:tr w14:paraId="5EC3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745" w:type="dxa"/>
            <w:vMerge w:val="continue"/>
            <w:vAlign w:val="center"/>
          </w:tcPr>
          <w:p w14:paraId="482A7A7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394DC4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89</w:t>
            </w:r>
          </w:p>
        </w:tc>
        <w:tc>
          <w:tcPr>
            <w:tcW w:w="8497" w:type="dxa"/>
            <w:vAlign w:val="center"/>
          </w:tcPr>
          <w:p w14:paraId="2EDB489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生产兴奋剂目录所列蛋白同化制剂、肽类激素（以下简称蛋白同化制剂、肽类激素），应当依照《中华人民共和国药品管理法》（以下简称药品管理法）的规定取得《药品生产许可证》、药品批准文号。</w:t>
            </w:r>
          </w:p>
          <w:p w14:paraId="2D5C3B6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生产企业应当记录蛋白同化制剂、肽类激素的生产、销售和库存情况，并保存记录至超过蛋白同化制剂、肽类激素有效期2年。</w:t>
            </w:r>
          </w:p>
          <w:p w14:paraId="2FA5453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蛋白同化制剂、肽类激素的生产企业只能向医疗机构、符合规定的药品批发企业和其他同类生产企业供应蛋白同化制剂、肽类激素。</w:t>
            </w:r>
          </w:p>
        </w:tc>
        <w:tc>
          <w:tcPr>
            <w:tcW w:w="5505" w:type="dxa"/>
            <w:vAlign w:val="center"/>
          </w:tcPr>
          <w:p w14:paraId="434B6FD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《反兴奋剂条例》第八条、第十四条。</w:t>
            </w:r>
          </w:p>
        </w:tc>
      </w:tr>
      <w:tr w14:paraId="72E3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45" w:type="dxa"/>
            <w:vMerge w:val="continue"/>
            <w:vAlign w:val="center"/>
          </w:tcPr>
          <w:p w14:paraId="66B0E6F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46734BB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90</w:t>
            </w:r>
          </w:p>
        </w:tc>
        <w:tc>
          <w:tcPr>
            <w:tcW w:w="8497" w:type="dxa"/>
            <w:vAlign w:val="center"/>
          </w:tcPr>
          <w:p w14:paraId="0EB174E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药品上市许可持有人应当按照规定保障药品的生产和供应，停止生产列入国家实施停产报告的短缺药品清单的药品，应当在计划停产实施六个月前向省局报告；发生非预期停产的，在三日内报告省局。</w:t>
            </w:r>
          </w:p>
        </w:tc>
        <w:tc>
          <w:tcPr>
            <w:tcW w:w="5505" w:type="dxa"/>
            <w:vAlign w:val="center"/>
          </w:tcPr>
          <w:p w14:paraId="134C845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《中华人民共和国药品管理法》第九十五条第二款、第九十七条第二款；《药品生产监督管理办法》第四十六条。</w:t>
            </w:r>
          </w:p>
        </w:tc>
      </w:tr>
      <w:tr w14:paraId="3615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atLeast"/>
          <w:jc w:val="center"/>
        </w:trPr>
        <w:tc>
          <w:tcPr>
            <w:tcW w:w="745" w:type="dxa"/>
            <w:vMerge w:val="restart"/>
            <w:vAlign w:val="center"/>
          </w:tcPr>
          <w:p w14:paraId="685221A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特殊管理药品（如疫苗、特殊药品等）</w:t>
            </w:r>
          </w:p>
        </w:tc>
        <w:tc>
          <w:tcPr>
            <w:tcW w:w="742" w:type="dxa"/>
            <w:vAlign w:val="center"/>
          </w:tcPr>
          <w:p w14:paraId="243FA96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91</w:t>
            </w:r>
          </w:p>
        </w:tc>
        <w:tc>
          <w:tcPr>
            <w:tcW w:w="8497" w:type="dxa"/>
            <w:vAlign w:val="center"/>
          </w:tcPr>
          <w:p w14:paraId="549FE05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疫苗类制品、血液制品、用于血源筛查的体外诊断试剂以及国家药品监督管理局规定的其他生物制品，在每批产品上市销售前或者进口时，经指定的批签发机构进行审核、检验，对符合要求的发给批签发证明的活动。未通过批签发的产品，不得上市销售或者进口。依法经国家药品监督管理局批准免予批签发的产品除外。批签发产品应当按照经核准的工艺生产，并应当符合国家药品标准和药品注册标准。生产全过程应当符合药品生产质量管理规范的要求。药品上市许可持有人应当建立完整的生产质量管理体系，持续加强偏差管理，对批签发产品生产、检验等过程中形成的资料、记录和数据的真实性负责。批签发资料应当经药品上市许可持有人的质量受权人审核并签发。每批产品上市销售前或者进口时，批签发申请人应当主动提出批签发申请，依法履行批签发活动中的法定义务，保证申请批签发的产品质量可靠以及批签发申请资料和样品的真实性。</w:t>
            </w:r>
          </w:p>
        </w:tc>
        <w:tc>
          <w:tcPr>
            <w:tcW w:w="5505" w:type="dxa"/>
            <w:vAlign w:val="center"/>
          </w:tcPr>
          <w:p w14:paraId="32E1913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《中华人民共和国药品管理法》第六十八条；《中华人民共和国疫苗管理法》第二十六条；《生物制品批签发管理办法》第一章第二条、第三条。</w:t>
            </w:r>
          </w:p>
        </w:tc>
      </w:tr>
      <w:tr w14:paraId="1E34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45" w:type="dxa"/>
            <w:vMerge w:val="continue"/>
            <w:vAlign w:val="center"/>
          </w:tcPr>
          <w:p w14:paraId="43987B3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516556E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92</w:t>
            </w:r>
          </w:p>
        </w:tc>
        <w:tc>
          <w:tcPr>
            <w:tcW w:w="8497" w:type="dxa"/>
            <w:vAlign w:val="center"/>
          </w:tcPr>
          <w:p w14:paraId="2F18135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的生产管理负责人、质量管理负责人和质量受权人等关键岗位人员应当具有医学、药学、生物学等相关专业本科及以上学历或具备中级以上专业技术职称，具有五年以上从事疫苗领域生产质量管理经验，能够在生产、质量管理中履行职责，并承担相应责任。</w:t>
            </w:r>
          </w:p>
        </w:tc>
        <w:tc>
          <w:tcPr>
            <w:tcW w:w="5505" w:type="dxa"/>
            <w:vAlign w:val="center"/>
          </w:tcPr>
          <w:p w14:paraId="75F18D0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《中华人民共和国疫苗管理法》第二十三条；《疫苗生产流通管理规定》第七条。</w:t>
            </w:r>
          </w:p>
        </w:tc>
      </w:tr>
      <w:tr w14:paraId="2CD0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5" w:type="dxa"/>
            <w:vMerge w:val="continue"/>
            <w:vAlign w:val="center"/>
          </w:tcPr>
          <w:p w14:paraId="5E5285A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2CCB2C3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93</w:t>
            </w:r>
          </w:p>
        </w:tc>
        <w:tc>
          <w:tcPr>
            <w:tcW w:w="8497" w:type="dxa"/>
            <w:vAlign w:val="center"/>
          </w:tcPr>
          <w:p w14:paraId="102B5CB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自身应当具备疫苗生产能力。从事疫苗生产活动时，应当按照《中华人民共和国药品管理法》《中华人民共和国疫苗管理法》及《药品生产监督管理办法》等规定的条件，按照药品生产许可管理规定程序，向生产场地所在地省级药品监督管理部门提交药品生产许可申请材料。超出持有人疫苗生产能力确需委托生产的，受托方应当为取得疫苗生产范围的药品生产企业。疫苗的包装、贴标签、分包装应当在取得疫苗生产范围的药品生产企业开展。</w:t>
            </w:r>
          </w:p>
        </w:tc>
        <w:tc>
          <w:tcPr>
            <w:tcW w:w="5505" w:type="dxa"/>
            <w:vAlign w:val="center"/>
          </w:tcPr>
          <w:p w14:paraId="1FC35B7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《中华人民共和国疫苗管理法》第二十二条；《疫苗生产流通管理规定》第十一条。</w:t>
            </w:r>
          </w:p>
        </w:tc>
      </w:tr>
      <w:tr w14:paraId="73E6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745" w:type="dxa"/>
            <w:vMerge w:val="restart"/>
            <w:vAlign w:val="center"/>
          </w:tcPr>
          <w:p w14:paraId="469D709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特殊管理药品（如疫苗、特殊药品等）</w:t>
            </w:r>
          </w:p>
        </w:tc>
        <w:tc>
          <w:tcPr>
            <w:tcW w:w="742" w:type="dxa"/>
            <w:vAlign w:val="center"/>
          </w:tcPr>
          <w:p w14:paraId="1B6B718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94</w:t>
            </w:r>
          </w:p>
        </w:tc>
        <w:tc>
          <w:tcPr>
            <w:tcW w:w="8497" w:type="dxa"/>
            <w:vAlign w:val="center"/>
          </w:tcPr>
          <w:p w14:paraId="61148D4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因工艺升级、搬迁改造等原因（正常周期性生产除外），计划停产3个月以上的，应当在停产3个月前，向所在地省级药品监督管理部门报告。持有人常年生产品种因设备故障等突发情况导致无法正常生产，预计需停产1个月以上的，应当在停产3个工作日内向所在地省级药品监督管理部门报告。持有人长期停产（正常周期性生产除外）计划恢复生产的，应当在恢复生产1个月前向所在地省级药品监督管理部门报告。</w:t>
            </w:r>
          </w:p>
        </w:tc>
        <w:tc>
          <w:tcPr>
            <w:tcW w:w="5505" w:type="dxa"/>
            <w:vAlign w:val="center"/>
          </w:tcPr>
          <w:p w14:paraId="6C95C0D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《中华人民共和国疫苗管理法》第三十一条；《疫苗生产流通管理规定》第十八条、第十九条。</w:t>
            </w:r>
          </w:p>
        </w:tc>
      </w:tr>
      <w:tr w14:paraId="2108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745" w:type="dxa"/>
            <w:vMerge w:val="continue"/>
            <w:vAlign w:val="center"/>
          </w:tcPr>
          <w:p w14:paraId="625F8AF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40A6965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95</w:t>
            </w:r>
          </w:p>
        </w:tc>
        <w:tc>
          <w:tcPr>
            <w:tcW w:w="8497" w:type="dxa"/>
            <w:vAlign w:val="center"/>
          </w:tcPr>
          <w:p w14:paraId="39FC82F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持有人在生产、流通管理过程中，发现可能会影响疫苗产品质量的重大偏差或重大质量问题的，应当立即向所在地省级药品监督管理部门报告。</w:t>
            </w:r>
          </w:p>
        </w:tc>
        <w:tc>
          <w:tcPr>
            <w:tcW w:w="5505" w:type="dxa"/>
            <w:vAlign w:val="center"/>
          </w:tcPr>
          <w:p w14:paraId="72C9681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《中华人民共和国疫苗管理法》第二十五条、第三十一条；《疫苗生产流通管理规定》第二十条。</w:t>
            </w:r>
          </w:p>
        </w:tc>
      </w:tr>
      <w:tr w14:paraId="398E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745" w:type="dxa"/>
            <w:vMerge w:val="continue"/>
            <w:vAlign w:val="center"/>
          </w:tcPr>
          <w:p w14:paraId="43C30F6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4B6D568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96</w:t>
            </w:r>
          </w:p>
        </w:tc>
        <w:tc>
          <w:tcPr>
            <w:tcW w:w="8497" w:type="dxa"/>
            <w:vAlign w:val="center"/>
          </w:tcPr>
          <w:p w14:paraId="37A8D4C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人应当建立年度报告制度，质量年度报告应当按照相关要求进行撰写。质量年度报告至少应当包括疫苗生产和批签发情况，关键人员变更情况，生产工艺和场地变更情况，原料、辅料变更情况，关键设施设备变更情况，偏差情况，稳定性考察情况，销售配送情况，疑似预防接种异常反应情况，风险管理情况，接受检查和处罚情况等。持有人应当在每年4月底前通过“国家药品智慧监管平台的药品业务管理系统”上传上年度的质量年度报告。</w:t>
            </w:r>
          </w:p>
        </w:tc>
        <w:tc>
          <w:tcPr>
            <w:tcW w:w="5505" w:type="dxa"/>
            <w:vAlign w:val="center"/>
          </w:tcPr>
          <w:p w14:paraId="1B289E7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《中华人民共和国疫苗管理法》第六十条；《疫苗生产流通管理规定》第二十一条。</w:t>
            </w:r>
          </w:p>
        </w:tc>
      </w:tr>
      <w:tr w14:paraId="0C17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745" w:type="dxa"/>
            <w:vMerge w:val="continue"/>
            <w:vAlign w:val="center"/>
          </w:tcPr>
          <w:p w14:paraId="30BD195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15D5C3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97</w:t>
            </w:r>
          </w:p>
        </w:tc>
        <w:tc>
          <w:tcPr>
            <w:tcW w:w="8497" w:type="dxa"/>
            <w:vAlign w:val="center"/>
          </w:tcPr>
          <w:p w14:paraId="50DD880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收购、经营、加工、使用毒性药品的单位必须建立健全保管、验收、领发、核对等制度，严防收假、发错，严禁与其他药品混杂，做到划定仓位，专柜加销并由专人保管。毒性药品的包装容器必须印有毒药标志。在运输毒性药品的过程中，应当采取有效措施，防止发生事故。</w:t>
            </w:r>
          </w:p>
        </w:tc>
        <w:tc>
          <w:tcPr>
            <w:tcW w:w="5505" w:type="dxa"/>
            <w:vAlign w:val="center"/>
          </w:tcPr>
          <w:p w14:paraId="4781E83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《中华人民共和国药品管理法》第一百一十二条；《医疗用毒性药品管理办法》第六条。</w:t>
            </w:r>
          </w:p>
        </w:tc>
      </w:tr>
      <w:tr w14:paraId="4BBB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745" w:type="dxa"/>
            <w:vMerge w:val="restart"/>
            <w:vAlign w:val="center"/>
          </w:tcPr>
          <w:p w14:paraId="684379E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特殊管理药品（如疫苗、特殊药品等）</w:t>
            </w:r>
          </w:p>
        </w:tc>
        <w:tc>
          <w:tcPr>
            <w:tcW w:w="742" w:type="dxa"/>
            <w:vAlign w:val="center"/>
          </w:tcPr>
          <w:p w14:paraId="74DEC2A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98</w:t>
            </w:r>
          </w:p>
        </w:tc>
        <w:tc>
          <w:tcPr>
            <w:tcW w:w="8497" w:type="dxa"/>
            <w:vAlign w:val="center"/>
          </w:tcPr>
          <w:p w14:paraId="14ECE53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凡加工炮制毒性中药，必须按照《中华人民共和国药典》或者省、自治区、直辖市卫生行政部门制定的《炮制规范》的规定进行。药材符合药用要求的，方可供应、配方和用于中成药生产。</w:t>
            </w:r>
          </w:p>
        </w:tc>
        <w:tc>
          <w:tcPr>
            <w:tcW w:w="5505" w:type="dxa"/>
            <w:vAlign w:val="center"/>
          </w:tcPr>
          <w:p w14:paraId="0974AB8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《中华人民共和国药品管理法》第第一百一十二条；《医疗用毒性药品管理办法》第七条。</w:t>
            </w:r>
          </w:p>
        </w:tc>
      </w:tr>
      <w:tr w14:paraId="1092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745" w:type="dxa"/>
            <w:vMerge w:val="continue"/>
            <w:vAlign w:val="center"/>
          </w:tcPr>
          <w:p w14:paraId="2652BC6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06962DD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99</w:t>
            </w:r>
          </w:p>
        </w:tc>
        <w:tc>
          <w:tcPr>
            <w:tcW w:w="8497" w:type="dxa"/>
            <w:vAlign w:val="center"/>
          </w:tcPr>
          <w:p w14:paraId="20C6D1C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生产毒性药品及其制剂，必须严格执行生产工艺操作规程，在本单位药品检验人员的监督下准确投料，并建立完整的生产记录，保存五年备查。</w:t>
            </w:r>
          </w:p>
          <w:p w14:paraId="44959FB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在生产毒性药品过程中产生的废弃物，必须妥善处理，不得污染环境。</w:t>
            </w:r>
          </w:p>
        </w:tc>
        <w:tc>
          <w:tcPr>
            <w:tcW w:w="5505" w:type="dxa"/>
            <w:vAlign w:val="center"/>
          </w:tcPr>
          <w:p w14:paraId="5CA8589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《中华人民共和国药品管理法》第一百一十二条；《医疗用毒性药品管理办法》第八条。</w:t>
            </w:r>
          </w:p>
        </w:tc>
      </w:tr>
      <w:tr w14:paraId="1A43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5489" w:type="dxa"/>
            <w:gridSpan w:val="4"/>
            <w:vAlign w:val="center"/>
          </w:tcPr>
          <w:p w14:paraId="133B572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注：除本清单列出的药品质量安全主体责任义务性规定外，药品上市许可持有人（药品生产企业）还应对照《中华人民共和国药品管理法》等相关法律、法规、规章、标准和技术规范相关要求，全面履行药品质量安全主体责任；相关法律、法规、规章等规定有变化的，按照新的规定落实主体责任。</w:t>
            </w:r>
          </w:p>
        </w:tc>
      </w:tr>
    </w:tbl>
    <w:p w14:paraId="4F3C4DDC">
      <w:pPr>
        <w:rPr>
          <w:rFonts w:ascii="Times New Roman" w:hAnsi="Times New Roman"/>
        </w:rPr>
      </w:pPr>
    </w:p>
    <w:p w14:paraId="6E9198FB">
      <w:pPr>
        <w:rPr>
          <w:rFonts w:ascii="Times New Roman" w:hAnsi="Times New Roman"/>
        </w:rPr>
      </w:pPr>
    </w:p>
    <w:p w14:paraId="38381120">
      <w:pPr>
        <w:rPr>
          <w:rFonts w:ascii="Times New Roman" w:hAnsi="Times New Roman"/>
        </w:rPr>
      </w:pPr>
    </w:p>
    <w:p w14:paraId="69840848">
      <w:pPr>
        <w:rPr>
          <w:rFonts w:ascii="Times New Roman" w:hAnsi="Times New Roman"/>
        </w:rPr>
      </w:pPr>
    </w:p>
    <w:p w14:paraId="62F86CD0">
      <w:pPr>
        <w:rPr>
          <w:rFonts w:ascii="Times New Roman" w:hAnsi="Times New Roman"/>
        </w:rPr>
      </w:pPr>
    </w:p>
    <w:p w14:paraId="5BB31BE1">
      <w:pPr>
        <w:rPr>
          <w:rFonts w:ascii="Times New Roman" w:hAnsi="Times New Roman"/>
        </w:rPr>
      </w:pPr>
    </w:p>
    <w:tbl>
      <w:tblPr>
        <w:tblStyle w:val="9"/>
        <w:tblW w:w="15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742"/>
        <w:gridCol w:w="8497"/>
        <w:gridCol w:w="5508"/>
      </w:tblGrid>
      <w:tr w14:paraId="111C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747" w:type="dxa"/>
            <w:vAlign w:val="center"/>
          </w:tcPr>
          <w:p w14:paraId="7CB417EB">
            <w:pPr>
              <w:widowControl/>
              <w:snapToGrid w:val="0"/>
              <w:spacing w:line="400" w:lineRule="exact"/>
              <w:jc w:val="center"/>
              <w:rPr>
                <w:rFonts w:eastAsia="方正黑体_GBK" w:cs="宋体"/>
                <w:kern w:val="0"/>
                <w:sz w:val="18"/>
                <w:szCs w:val="18"/>
              </w:rPr>
            </w:pPr>
            <w:r>
              <w:rPr>
                <w:rFonts w:hint="eastAsia" w:eastAsia="方正黑体_GBK" w:cs="宋体"/>
                <w:kern w:val="0"/>
                <w:sz w:val="18"/>
                <w:szCs w:val="18"/>
              </w:rPr>
              <w:t>表5</w:t>
            </w:r>
          </w:p>
        </w:tc>
        <w:tc>
          <w:tcPr>
            <w:tcW w:w="14747" w:type="dxa"/>
            <w:gridSpan w:val="3"/>
            <w:vAlign w:val="center"/>
          </w:tcPr>
          <w:p w14:paraId="69C95287">
            <w:pPr>
              <w:widowControl/>
              <w:snapToGrid w:val="0"/>
              <w:spacing w:line="400" w:lineRule="exact"/>
              <w:jc w:val="center"/>
              <w:rPr>
                <w:rFonts w:eastAsia="方正黑体_GBK" w:cs="宋体"/>
                <w:kern w:val="0"/>
                <w:sz w:val="18"/>
                <w:szCs w:val="18"/>
              </w:rPr>
            </w:pPr>
            <w:r>
              <w:rPr>
                <w:rFonts w:hint="eastAsia" w:eastAsia="方正黑体_GBK" w:cs="宋体"/>
                <w:bCs/>
                <w:kern w:val="0"/>
                <w:sz w:val="18"/>
                <w:szCs w:val="18"/>
              </w:rPr>
              <w:t>中药饮片生产企业（含中药配方颗粒）主体责任清单</w:t>
            </w:r>
          </w:p>
        </w:tc>
      </w:tr>
      <w:tr w14:paraId="65CF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747" w:type="dxa"/>
            <w:vAlign w:val="center"/>
          </w:tcPr>
          <w:p w14:paraId="37C3ABA6">
            <w:pPr>
              <w:widowControl/>
              <w:snapToGrid w:val="0"/>
              <w:spacing w:line="400" w:lineRule="exact"/>
              <w:jc w:val="center"/>
              <w:rPr>
                <w:rFonts w:eastAsia="方正黑体_GBK" w:cs="宋体"/>
                <w:kern w:val="0"/>
                <w:sz w:val="18"/>
                <w:szCs w:val="18"/>
              </w:rPr>
            </w:pPr>
            <w:r>
              <w:rPr>
                <w:rFonts w:hint="eastAsia" w:eastAsia="方正黑体_GBK" w:cs="宋体"/>
                <w:kern w:val="0"/>
                <w:sz w:val="18"/>
                <w:szCs w:val="18"/>
              </w:rPr>
              <w:t>分类</w:t>
            </w:r>
          </w:p>
        </w:tc>
        <w:tc>
          <w:tcPr>
            <w:tcW w:w="742" w:type="dxa"/>
            <w:vAlign w:val="center"/>
          </w:tcPr>
          <w:p w14:paraId="3628D141">
            <w:pPr>
              <w:widowControl/>
              <w:snapToGrid w:val="0"/>
              <w:spacing w:line="400" w:lineRule="exact"/>
              <w:jc w:val="center"/>
              <w:rPr>
                <w:rFonts w:eastAsia="方正黑体_GBK" w:cs="宋体"/>
                <w:kern w:val="0"/>
                <w:sz w:val="18"/>
                <w:szCs w:val="18"/>
              </w:rPr>
            </w:pPr>
            <w:r>
              <w:rPr>
                <w:rFonts w:hint="eastAsia" w:eastAsia="方正黑体_GBK" w:cs="宋体"/>
                <w:kern w:val="0"/>
                <w:sz w:val="18"/>
                <w:szCs w:val="18"/>
              </w:rPr>
              <w:t>序号</w:t>
            </w:r>
          </w:p>
        </w:tc>
        <w:tc>
          <w:tcPr>
            <w:tcW w:w="8497" w:type="dxa"/>
            <w:vAlign w:val="center"/>
          </w:tcPr>
          <w:p w14:paraId="2B2B0F8A">
            <w:pPr>
              <w:widowControl/>
              <w:snapToGrid w:val="0"/>
              <w:spacing w:line="400" w:lineRule="exact"/>
              <w:jc w:val="center"/>
              <w:rPr>
                <w:rFonts w:eastAsia="方正黑体_GBK" w:cs="宋体"/>
                <w:kern w:val="0"/>
                <w:sz w:val="18"/>
                <w:szCs w:val="18"/>
              </w:rPr>
            </w:pPr>
            <w:r>
              <w:rPr>
                <w:rFonts w:hint="eastAsia" w:eastAsia="方正黑体_GBK" w:cs="宋体"/>
                <w:kern w:val="0"/>
                <w:sz w:val="18"/>
                <w:szCs w:val="18"/>
              </w:rPr>
              <w:t>主体责任</w:t>
            </w:r>
          </w:p>
        </w:tc>
        <w:tc>
          <w:tcPr>
            <w:tcW w:w="5508" w:type="dxa"/>
            <w:vAlign w:val="center"/>
          </w:tcPr>
          <w:p w14:paraId="445E7BCB">
            <w:pPr>
              <w:widowControl/>
              <w:snapToGrid w:val="0"/>
              <w:spacing w:line="400" w:lineRule="exact"/>
              <w:jc w:val="center"/>
              <w:rPr>
                <w:rFonts w:eastAsia="方正黑体_GBK" w:cs="宋体"/>
                <w:kern w:val="0"/>
                <w:sz w:val="18"/>
                <w:szCs w:val="18"/>
              </w:rPr>
            </w:pPr>
            <w:r>
              <w:rPr>
                <w:rFonts w:hint="eastAsia" w:eastAsia="方正黑体_GBK" w:cs="宋体"/>
                <w:kern w:val="0"/>
                <w:sz w:val="18"/>
                <w:szCs w:val="18"/>
              </w:rPr>
              <w:t>责任依据</w:t>
            </w:r>
          </w:p>
        </w:tc>
      </w:tr>
      <w:tr w14:paraId="3A21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747" w:type="dxa"/>
            <w:vMerge w:val="restart"/>
            <w:vAlign w:val="center"/>
          </w:tcPr>
          <w:p w14:paraId="17C2E8F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资质许可管理</w:t>
            </w:r>
          </w:p>
        </w:tc>
        <w:tc>
          <w:tcPr>
            <w:tcW w:w="742" w:type="dxa"/>
            <w:vAlign w:val="center"/>
          </w:tcPr>
          <w:p w14:paraId="6CB61D4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w:t>
            </w:r>
          </w:p>
        </w:tc>
        <w:tc>
          <w:tcPr>
            <w:tcW w:w="8497" w:type="dxa"/>
            <w:vAlign w:val="center"/>
          </w:tcPr>
          <w:p w14:paraId="0D00C8F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中药饮片生产企业应当履行药品上市许可持有人的相关义务，确保中药饮片生产过程持续符合法定要求。</w:t>
            </w:r>
          </w:p>
          <w:p w14:paraId="32DDDB1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从事中药饮片生产活动，应当经所在地省、自治区、直辖市人民政府药品监督管理部门批准，取得药品生产许可证；有依法经过资格认定的人员，与中药饮片生产相适应的厂房、设施和卫生环境，有能对所生产中药饮片进行质量管理和质量检验的机构、人员及必要的仪器设备，有保证药品质量的规章制度并符合GMP要求。</w:t>
            </w:r>
          </w:p>
        </w:tc>
        <w:tc>
          <w:tcPr>
            <w:tcW w:w="5508" w:type="dxa"/>
            <w:vAlign w:val="center"/>
          </w:tcPr>
          <w:p w14:paraId="0192201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《中华人民共和国药品管理法》第四十一条、第四十二条；《药品生产监督管理办法》第三条、第六条。</w:t>
            </w:r>
          </w:p>
        </w:tc>
      </w:tr>
      <w:tr w14:paraId="4D19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747" w:type="dxa"/>
            <w:vMerge w:val="continue"/>
            <w:vAlign w:val="center"/>
          </w:tcPr>
          <w:p w14:paraId="6B697FD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6D0F925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w:t>
            </w:r>
          </w:p>
        </w:tc>
        <w:tc>
          <w:tcPr>
            <w:tcW w:w="8497" w:type="dxa"/>
            <w:vAlign w:val="center"/>
          </w:tcPr>
          <w:p w14:paraId="58B7FF9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从事中药饮片生产活动的，申请人应当按照申报资料要求向所在地省、自治区、直辖市药品监督管理部门提出申请。</w:t>
            </w:r>
          </w:p>
          <w:p w14:paraId="6267687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申请人应当对其申请材料全部内容的真实性负责。</w:t>
            </w:r>
          </w:p>
        </w:tc>
        <w:tc>
          <w:tcPr>
            <w:tcW w:w="5508" w:type="dxa"/>
            <w:vAlign w:val="center"/>
          </w:tcPr>
          <w:p w14:paraId="7924EAF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《中华人民共和国药品管理法》第四十一条第一款；《药品生产监督管理办法》第七条。</w:t>
            </w:r>
          </w:p>
        </w:tc>
      </w:tr>
      <w:tr w14:paraId="560F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47" w:type="dxa"/>
            <w:vMerge w:val="continue"/>
            <w:vAlign w:val="center"/>
          </w:tcPr>
          <w:p w14:paraId="1F76364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160F391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w:t>
            </w:r>
          </w:p>
        </w:tc>
        <w:tc>
          <w:tcPr>
            <w:tcW w:w="8497" w:type="dxa"/>
            <w:vAlign w:val="center"/>
          </w:tcPr>
          <w:p w14:paraId="6B42347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质量管理体系相关的组织机构、企业负责人、生产负责人、质量负责人、质量受权人发生变更的，应当自发生变更之日起三十日内，完成登记手续。</w:t>
            </w:r>
          </w:p>
        </w:tc>
        <w:tc>
          <w:tcPr>
            <w:tcW w:w="5508" w:type="dxa"/>
            <w:vAlign w:val="center"/>
          </w:tcPr>
          <w:p w14:paraId="42C5D48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《药品生产监督管理办法》第四十五条。</w:t>
            </w:r>
          </w:p>
        </w:tc>
      </w:tr>
      <w:tr w14:paraId="7AB3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747" w:type="dxa"/>
            <w:vMerge w:val="continue"/>
            <w:vAlign w:val="center"/>
          </w:tcPr>
          <w:p w14:paraId="4282B34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4C59B08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w:t>
            </w:r>
          </w:p>
        </w:tc>
        <w:tc>
          <w:tcPr>
            <w:tcW w:w="8497" w:type="dxa"/>
            <w:vAlign w:val="center"/>
          </w:tcPr>
          <w:p w14:paraId="0B79661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配方颗粒品种实施备案管理，纳入中药饮片管理范畴，在上市前生产企业应报所在地省级药品监督管理部门备案。生产中药配方颗粒应当取得《药品生产许可证》，并同时具有中药饮片和颗粒剂生产范围。中药配方颗粒生产企业应当具备中药炮制、提取、分离、浓缩、干燥、制粒等完整的生产能力，应当自行炮制用于中药配方颗粒生产的中药饮片，并具备与其生产、销售的品种数量相应的生产规模。</w:t>
            </w:r>
          </w:p>
        </w:tc>
        <w:tc>
          <w:tcPr>
            <w:tcW w:w="5508" w:type="dxa"/>
            <w:vAlign w:val="center"/>
          </w:tcPr>
          <w:p w14:paraId="406FF71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《国家药监局国家中医药局国家卫生健康委国家 医保局关于结束中药配方颗粒试点工作的公告》（2021年第22号）第一、二、三条。</w:t>
            </w:r>
          </w:p>
        </w:tc>
      </w:tr>
      <w:tr w14:paraId="6DD7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747" w:type="dxa"/>
            <w:vMerge w:val="continue"/>
            <w:vAlign w:val="center"/>
          </w:tcPr>
          <w:p w14:paraId="5B722E6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89F76E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w:t>
            </w:r>
          </w:p>
        </w:tc>
        <w:tc>
          <w:tcPr>
            <w:tcW w:w="8497" w:type="dxa"/>
            <w:vAlign w:val="center"/>
          </w:tcPr>
          <w:p w14:paraId="07925DA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从事中药饮片生产活动，应当遵守法律、法规、规章、标准和规范，保证全过程信息真实、准确、完整和可追溯；依法对中药饮片的安全性、有效性和质量可控性负责；遵守药品生</w:t>
            </w:r>
            <w:r>
              <w:rPr>
                <w:rFonts w:hint="eastAsia" w:ascii="方正仿宋_GBK" w:hAnsi="方正仿宋_GBK" w:eastAsia="方正仿宋_GBK" w:cs="方正仿宋_GBK"/>
                <w:spacing w:val="-2"/>
                <w:kern w:val="0"/>
                <w:sz w:val="18"/>
                <w:szCs w:val="18"/>
              </w:rPr>
              <w:t>产质量管理规范，建立健全药品生产质量管理体系，保证药品生产全过程持续符合法定要求。</w:t>
            </w:r>
          </w:p>
        </w:tc>
        <w:tc>
          <w:tcPr>
            <w:tcW w:w="5508" w:type="dxa"/>
            <w:vAlign w:val="center"/>
          </w:tcPr>
          <w:p w14:paraId="028947F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《中华人民共和国药品管理法》第六条、第七条、第四十三条；《药品生产监督管理办法》第二十六条。</w:t>
            </w:r>
          </w:p>
        </w:tc>
      </w:tr>
      <w:tr w14:paraId="1728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47" w:type="dxa"/>
            <w:vMerge w:val="restart"/>
            <w:vAlign w:val="center"/>
          </w:tcPr>
          <w:p w14:paraId="40B8C6C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资质许可管理</w:t>
            </w:r>
          </w:p>
        </w:tc>
        <w:tc>
          <w:tcPr>
            <w:tcW w:w="742" w:type="dxa"/>
            <w:vAlign w:val="center"/>
          </w:tcPr>
          <w:p w14:paraId="181FBD4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w:t>
            </w:r>
          </w:p>
        </w:tc>
        <w:tc>
          <w:tcPr>
            <w:tcW w:w="8497" w:type="dxa"/>
            <w:vAlign w:val="center"/>
          </w:tcPr>
          <w:p w14:paraId="0D1728E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药品上市许可持有人、药品生产企业应当关注标准制定或者修订研究信息，积极参与、配合标准起草研究工作。</w:t>
            </w:r>
          </w:p>
        </w:tc>
        <w:tc>
          <w:tcPr>
            <w:tcW w:w="5508" w:type="dxa"/>
            <w:vAlign w:val="center"/>
          </w:tcPr>
          <w:p w14:paraId="493E5BD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《中药标准管理专门规定》第四十八条。</w:t>
            </w:r>
          </w:p>
        </w:tc>
      </w:tr>
      <w:tr w14:paraId="71AD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747" w:type="dxa"/>
            <w:vMerge w:val="continue"/>
            <w:vAlign w:val="center"/>
          </w:tcPr>
          <w:p w14:paraId="222C20F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6867ABF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w:t>
            </w:r>
          </w:p>
        </w:tc>
        <w:tc>
          <w:tcPr>
            <w:tcW w:w="8497" w:type="dxa"/>
            <w:vAlign w:val="center"/>
          </w:tcPr>
          <w:p w14:paraId="3BEC46C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标准发布与正式实施之间应当留出合理的过渡期，过渡期一般为6个月。必要时，可根据标准实施具体情形设置相应的过渡期。对需要立即实施的中药标准，应当及时通知相关中药药品上市许可持有人或者中药生产企业。在中药标准实施过渡期内，生产企业可以选择执行原标准或者新标准，并在说明书和标签中明确标注执行标准。</w:t>
            </w:r>
          </w:p>
        </w:tc>
        <w:tc>
          <w:tcPr>
            <w:tcW w:w="5508" w:type="dxa"/>
            <w:vAlign w:val="center"/>
          </w:tcPr>
          <w:p w14:paraId="6F5B367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《中药标准管理专门规定》第五十四条。</w:t>
            </w:r>
          </w:p>
        </w:tc>
      </w:tr>
      <w:tr w14:paraId="614F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747" w:type="dxa"/>
            <w:vMerge w:val="restart"/>
            <w:vAlign w:val="center"/>
          </w:tcPr>
          <w:p w14:paraId="6B6D65E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制度和人员管理</w:t>
            </w:r>
          </w:p>
        </w:tc>
        <w:tc>
          <w:tcPr>
            <w:tcW w:w="742" w:type="dxa"/>
            <w:vAlign w:val="center"/>
          </w:tcPr>
          <w:p w14:paraId="372196E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8</w:t>
            </w:r>
          </w:p>
        </w:tc>
        <w:tc>
          <w:tcPr>
            <w:tcW w:w="8497" w:type="dxa"/>
            <w:vAlign w:val="center"/>
          </w:tcPr>
          <w:p w14:paraId="0B4D088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生产企业的法定代表人、主要负责人对中药饮片质量全面负责，对本企业中药饮片生产活动全面负责。配备专门质量负责人独立负责药品质量管理；配备专门质量受权人独立履行中药饮片出厂放行责任；监督质量管理体系正常运行，保证其过程受控、结果可信；定期开展质量体系审核，保证持续合规。</w:t>
            </w:r>
          </w:p>
        </w:tc>
        <w:tc>
          <w:tcPr>
            <w:tcW w:w="5508" w:type="dxa"/>
            <w:vAlign w:val="center"/>
          </w:tcPr>
          <w:p w14:paraId="138A07F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《中华人民共和国药品管理法》第三十条、第四十三条；《药品生产监督管理办法》第二十八条、第二十九条。</w:t>
            </w:r>
          </w:p>
        </w:tc>
      </w:tr>
      <w:tr w14:paraId="709F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747" w:type="dxa"/>
            <w:vMerge w:val="continue"/>
            <w:vAlign w:val="center"/>
          </w:tcPr>
          <w:p w14:paraId="2EFF520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1253346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9</w:t>
            </w:r>
          </w:p>
        </w:tc>
        <w:tc>
          <w:tcPr>
            <w:tcW w:w="8497" w:type="dxa"/>
            <w:vAlign w:val="center"/>
          </w:tcPr>
          <w:p w14:paraId="1CDDF82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生产企业应当对中药饮片进行质量检验，建立出厂放行规程，明确出厂放行的标准、条件，对质量检验结果、关键生产记录和偏差控制情况进行审核，符合标准、条件的，经质量受权人签字后方可出厂放行。</w:t>
            </w:r>
          </w:p>
        </w:tc>
        <w:tc>
          <w:tcPr>
            <w:tcW w:w="5508" w:type="dxa"/>
            <w:vAlign w:val="center"/>
          </w:tcPr>
          <w:p w14:paraId="1A299F4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《中华人民共和国药品管理法》第三十三条、第四十七条；《药品生产监督管理办法》第三十七条。</w:t>
            </w:r>
          </w:p>
        </w:tc>
      </w:tr>
      <w:tr w14:paraId="7865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47" w:type="dxa"/>
            <w:vMerge w:val="continue"/>
            <w:vAlign w:val="center"/>
          </w:tcPr>
          <w:p w14:paraId="1F33068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4DC55EF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10</w:t>
            </w:r>
          </w:p>
        </w:tc>
        <w:tc>
          <w:tcPr>
            <w:tcW w:w="8497" w:type="dxa"/>
            <w:vAlign w:val="center"/>
          </w:tcPr>
          <w:p w14:paraId="088FCE4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直接接触中药饮片的工作人员，应当每年进行健康检查。</w:t>
            </w:r>
          </w:p>
        </w:tc>
        <w:tc>
          <w:tcPr>
            <w:tcW w:w="5508" w:type="dxa"/>
            <w:vAlign w:val="center"/>
          </w:tcPr>
          <w:p w14:paraId="260D005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《中华人民共和国药品管理法》第五十条；《药品生产监督管理办法》第三十条。</w:t>
            </w:r>
          </w:p>
        </w:tc>
      </w:tr>
      <w:tr w14:paraId="06A3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47" w:type="dxa"/>
            <w:vAlign w:val="center"/>
          </w:tcPr>
          <w:p w14:paraId="1CAC6FE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质量管理</w:t>
            </w:r>
          </w:p>
        </w:tc>
        <w:tc>
          <w:tcPr>
            <w:tcW w:w="742" w:type="dxa"/>
            <w:vAlign w:val="center"/>
          </w:tcPr>
          <w:p w14:paraId="21AB0D8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11</w:t>
            </w:r>
          </w:p>
        </w:tc>
        <w:tc>
          <w:tcPr>
            <w:tcW w:w="8497" w:type="dxa"/>
            <w:vAlign w:val="center"/>
          </w:tcPr>
          <w:p w14:paraId="39EA06C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应当每年进行自检，监控中药饮片生产质量管理规范的实施情况，评估企业是否符合相关法律法规要求，并提出必要的纠正和预防措施。</w:t>
            </w:r>
          </w:p>
        </w:tc>
        <w:tc>
          <w:tcPr>
            <w:tcW w:w="5508" w:type="dxa"/>
            <w:vAlign w:val="center"/>
          </w:tcPr>
          <w:p w14:paraId="2F342F1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《药品生产监督管理办法》第三十八条。</w:t>
            </w:r>
          </w:p>
        </w:tc>
      </w:tr>
      <w:tr w14:paraId="0B2B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47" w:type="dxa"/>
            <w:vMerge w:val="restart"/>
            <w:vAlign w:val="center"/>
          </w:tcPr>
          <w:p w14:paraId="2434EE1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质量管理</w:t>
            </w:r>
          </w:p>
        </w:tc>
        <w:tc>
          <w:tcPr>
            <w:tcW w:w="742" w:type="dxa"/>
            <w:vAlign w:val="center"/>
          </w:tcPr>
          <w:p w14:paraId="349E157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12</w:t>
            </w:r>
          </w:p>
        </w:tc>
        <w:tc>
          <w:tcPr>
            <w:tcW w:w="8497" w:type="dxa"/>
            <w:vAlign w:val="center"/>
          </w:tcPr>
          <w:p w14:paraId="2FBE115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药品监督管理部门必要时可以对为药品研制、生产、经营、使用提供产品或者服务的单位和个人进行延伸检查，有关单位和个人应当予以配合，不得拒绝和隐瞒。</w:t>
            </w:r>
          </w:p>
          <w:p w14:paraId="54DE0D8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药品监督管理部门监督检查时，应当积极配合，根据检查需要说明情况，提供有关材料。</w:t>
            </w:r>
          </w:p>
        </w:tc>
        <w:tc>
          <w:tcPr>
            <w:tcW w:w="5508" w:type="dxa"/>
            <w:vAlign w:val="center"/>
          </w:tcPr>
          <w:p w14:paraId="3E53546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《中华人民共和国药品管理法》第九十九条；《药品生产监督管理办法》第五十七条。</w:t>
            </w:r>
          </w:p>
        </w:tc>
      </w:tr>
      <w:tr w14:paraId="3D40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jc w:val="center"/>
        </w:trPr>
        <w:tc>
          <w:tcPr>
            <w:tcW w:w="747" w:type="dxa"/>
            <w:vMerge w:val="continue"/>
            <w:vAlign w:val="center"/>
          </w:tcPr>
          <w:p w14:paraId="11CC37A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6EBEA0F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13</w:t>
            </w:r>
          </w:p>
        </w:tc>
        <w:tc>
          <w:tcPr>
            <w:tcW w:w="8497" w:type="dxa"/>
            <w:vAlign w:val="center"/>
          </w:tcPr>
          <w:p w14:paraId="7633382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可选取产量较大及质量不稳定的品种进行年度质量回顾分析，其他品种也应定期进行产品质量回顾分析，回顾的品种应涵盖企业的所有炮制范围。</w:t>
            </w:r>
          </w:p>
        </w:tc>
        <w:tc>
          <w:tcPr>
            <w:tcW w:w="5508" w:type="dxa"/>
            <w:vAlign w:val="center"/>
          </w:tcPr>
          <w:p w14:paraId="60F4C84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Style w:val="16"/>
                <w:rFonts w:hint="eastAsia" w:ascii="方正仿宋_GBK" w:hAnsi="方正仿宋_GBK" w:eastAsia="方正仿宋_GBK" w:cs="方正仿宋_GBK"/>
                <w:b w:val="0"/>
                <w:bCs/>
                <w:sz w:val="18"/>
                <w:szCs w:val="18"/>
              </w:rPr>
              <w:t>《药品生产质量管理规范》中药饮片附录第五十五条。</w:t>
            </w:r>
          </w:p>
        </w:tc>
      </w:tr>
      <w:tr w14:paraId="77E0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vMerge w:val="continue"/>
            <w:vAlign w:val="center"/>
          </w:tcPr>
          <w:p w14:paraId="12E34B1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123FA0B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14</w:t>
            </w:r>
          </w:p>
        </w:tc>
        <w:tc>
          <w:tcPr>
            <w:tcW w:w="8497" w:type="dxa"/>
            <w:vAlign w:val="center"/>
          </w:tcPr>
          <w:p w14:paraId="1054C87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发生与中药饮片质量有关的重大安全事件，应当立即对有关药品及其原辅料及直接接触药品的包装材料和容器、相关生产线等采取封存等控制措施，并立即报告所在地省、自治区、直辖市药品监督管理部门和有关部门。</w:t>
            </w:r>
          </w:p>
        </w:tc>
        <w:tc>
          <w:tcPr>
            <w:tcW w:w="5508" w:type="dxa"/>
            <w:vAlign w:val="center"/>
          </w:tcPr>
          <w:p w14:paraId="1EB5B1F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《药品生产监督管理办法》第六十五条。</w:t>
            </w:r>
          </w:p>
        </w:tc>
      </w:tr>
      <w:tr w14:paraId="1FD7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747" w:type="dxa"/>
            <w:vMerge w:val="restart"/>
            <w:vAlign w:val="center"/>
          </w:tcPr>
          <w:p w14:paraId="70B8192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生产过程管理</w:t>
            </w:r>
          </w:p>
        </w:tc>
        <w:tc>
          <w:tcPr>
            <w:tcW w:w="742" w:type="dxa"/>
            <w:vAlign w:val="center"/>
          </w:tcPr>
          <w:p w14:paraId="347895C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15</w:t>
            </w:r>
          </w:p>
        </w:tc>
        <w:tc>
          <w:tcPr>
            <w:tcW w:w="8497" w:type="dxa"/>
            <w:vAlign w:val="center"/>
          </w:tcPr>
          <w:p w14:paraId="4A9DF9E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中药饮片应当按照国家药品标准炮制；国家药品标准没有规定的，应当按照省级人民政府药品监管部门制定的炮制规范炮制。</w:t>
            </w:r>
          </w:p>
          <w:p w14:paraId="5E5CA53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企业按标准制定的生产工艺、验证后进行生产，按照GMP要求对生产工艺变更进行管理和控制，制定工艺规程。按照规定提交并持续更新场地管理文件，对药品质量体系运行过程进行风险评估和持续改进。</w:t>
            </w:r>
          </w:p>
          <w:p w14:paraId="21D974C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生产、检验记录应当完整准确，不得编造和篡改。</w:t>
            </w:r>
          </w:p>
        </w:tc>
        <w:tc>
          <w:tcPr>
            <w:tcW w:w="5508" w:type="dxa"/>
            <w:vAlign w:val="center"/>
          </w:tcPr>
          <w:p w14:paraId="7510449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《中华人民共和国药品管理法》第四十四条；《药品生产监督管理办法》第二十四条、第四十三条。</w:t>
            </w:r>
          </w:p>
        </w:tc>
      </w:tr>
      <w:tr w14:paraId="6F19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47" w:type="dxa"/>
            <w:vMerge w:val="continue"/>
            <w:vAlign w:val="center"/>
          </w:tcPr>
          <w:p w14:paraId="60E7A59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1AE7BF6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16</w:t>
            </w:r>
          </w:p>
        </w:tc>
        <w:tc>
          <w:tcPr>
            <w:tcW w:w="8497" w:type="dxa"/>
            <w:vAlign w:val="center"/>
          </w:tcPr>
          <w:p w14:paraId="0B28D68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应当对生产中药饮片所需的原药材、辅料、直接接触药品的包装材料和容器等相关物料供应商或生产企业进行审核，保证购进、使用的原辅料、与药品直接接触的包装材料应当符合相应的质量标准。</w:t>
            </w:r>
          </w:p>
        </w:tc>
        <w:tc>
          <w:tcPr>
            <w:tcW w:w="5508" w:type="dxa"/>
            <w:vAlign w:val="center"/>
          </w:tcPr>
          <w:p w14:paraId="38C26CD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《中华人民共和国药品管理法》第四十五条、第四十六条；《药品生产监督管理办法》第三十二条。</w:t>
            </w:r>
          </w:p>
        </w:tc>
      </w:tr>
      <w:tr w14:paraId="6958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47" w:type="dxa"/>
            <w:vMerge w:val="restart"/>
            <w:vAlign w:val="center"/>
          </w:tcPr>
          <w:p w14:paraId="5B9E64B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生产过程管理</w:t>
            </w:r>
          </w:p>
        </w:tc>
        <w:tc>
          <w:tcPr>
            <w:tcW w:w="742" w:type="dxa"/>
            <w:vAlign w:val="center"/>
          </w:tcPr>
          <w:p w14:paraId="6DB2EEF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17</w:t>
            </w:r>
          </w:p>
        </w:tc>
        <w:tc>
          <w:tcPr>
            <w:tcW w:w="8497" w:type="dxa"/>
            <w:vAlign w:val="center"/>
          </w:tcPr>
          <w:p w14:paraId="4D07348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应当采取防止污染、交叉污染、混淆和差错的控制措施，定期评估控制措施的适用性和有效性，确保药品达到标准并符合GMP要求。</w:t>
            </w:r>
          </w:p>
        </w:tc>
        <w:tc>
          <w:tcPr>
            <w:tcW w:w="5508" w:type="dxa"/>
            <w:vAlign w:val="center"/>
          </w:tcPr>
          <w:p w14:paraId="6D3E9DE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《药品生产监督管理办法》第三十五条。</w:t>
            </w:r>
          </w:p>
        </w:tc>
      </w:tr>
      <w:tr w14:paraId="622A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47" w:type="dxa"/>
            <w:vMerge w:val="continue"/>
            <w:vAlign w:val="center"/>
          </w:tcPr>
          <w:p w14:paraId="0F08B79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04CF6B3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18</w:t>
            </w:r>
          </w:p>
        </w:tc>
        <w:tc>
          <w:tcPr>
            <w:tcW w:w="8497" w:type="dxa"/>
            <w:vAlign w:val="center"/>
          </w:tcPr>
          <w:p w14:paraId="1DFF4AB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中药配方颗粒生产企业应当履行药品全生命周期的主体责任和相关义务，实施生产全过程管理，建立追溯体系，逐步实现来源可查、去向可追，加强风险管理。中药饮片炮</w:t>
            </w:r>
            <w:r>
              <w:rPr>
                <w:rFonts w:hint="eastAsia" w:ascii="方正仿宋_GBK" w:hAnsi="方正仿宋_GBK" w:eastAsia="方正仿宋_GBK" w:cs="方正仿宋_GBK"/>
                <w:spacing w:val="-4"/>
                <w:kern w:val="0"/>
                <w:sz w:val="18"/>
                <w:szCs w:val="18"/>
              </w:rPr>
              <w:t>制、水提、分离、浓缩、干燥、制粒等中药配方颗粒的生产过程应当符合GMP相关要求。</w:t>
            </w:r>
          </w:p>
        </w:tc>
        <w:tc>
          <w:tcPr>
            <w:tcW w:w="5508" w:type="dxa"/>
            <w:vAlign w:val="center"/>
          </w:tcPr>
          <w:p w14:paraId="56F5E62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《国家药监局 国家中医药局 国家卫生健康委 国家医保局关于结束中药配方颗粒试点工作的公告》（2021年第22号）第四条。</w:t>
            </w:r>
          </w:p>
        </w:tc>
      </w:tr>
      <w:tr w14:paraId="7076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747" w:type="dxa"/>
            <w:vMerge w:val="continue"/>
            <w:vAlign w:val="center"/>
          </w:tcPr>
          <w:p w14:paraId="16E1C5E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1967E1A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19</w:t>
            </w:r>
          </w:p>
        </w:tc>
        <w:tc>
          <w:tcPr>
            <w:tcW w:w="8497" w:type="dxa"/>
            <w:vAlign w:val="center"/>
          </w:tcPr>
          <w:p w14:paraId="07F82B8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中药配方颗粒应当按照备案的生产工艺进行生产，并符合国家药品标准。国家药品标准没有规定的，应当符合省级药品监督管理部门制定的标准。</w:t>
            </w:r>
          </w:p>
        </w:tc>
        <w:tc>
          <w:tcPr>
            <w:tcW w:w="5508" w:type="dxa"/>
            <w:vAlign w:val="center"/>
          </w:tcPr>
          <w:p w14:paraId="6AC36A2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《国家药监局 国家中医药局 国家卫生健康委 国家医保局关于结束中药配方颗粒试点工作的公告》（2021年第22号）第六条。</w:t>
            </w:r>
          </w:p>
        </w:tc>
      </w:tr>
      <w:tr w14:paraId="7303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747" w:type="dxa"/>
            <w:vMerge w:val="continue"/>
            <w:vAlign w:val="center"/>
          </w:tcPr>
          <w:p w14:paraId="579D445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5AF02AD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20</w:t>
            </w:r>
          </w:p>
        </w:tc>
        <w:tc>
          <w:tcPr>
            <w:tcW w:w="8497" w:type="dxa"/>
            <w:vAlign w:val="center"/>
          </w:tcPr>
          <w:p w14:paraId="5C18C3A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生产中药配方颗粒所需中药材，能人工种植养殖的，应当优先使用来源于符合中药材生产质量管理规范要求的中药材种植养殖基地的中药材。提倡使用道地药材。</w:t>
            </w:r>
          </w:p>
        </w:tc>
        <w:tc>
          <w:tcPr>
            <w:tcW w:w="5508" w:type="dxa"/>
            <w:vAlign w:val="center"/>
          </w:tcPr>
          <w:p w14:paraId="7C988BD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《国家药监局 国家中医药局 国家卫生健康委 国家医保局关于结束中药配方颗粒试点工作的公告》（2021年第22号）第四条。</w:t>
            </w:r>
          </w:p>
        </w:tc>
      </w:tr>
      <w:tr w14:paraId="6913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747" w:type="dxa"/>
            <w:vAlign w:val="center"/>
          </w:tcPr>
          <w:p w14:paraId="1364F26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标签管理</w:t>
            </w:r>
          </w:p>
        </w:tc>
        <w:tc>
          <w:tcPr>
            <w:tcW w:w="742" w:type="dxa"/>
            <w:vAlign w:val="center"/>
          </w:tcPr>
          <w:p w14:paraId="0715FCA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21</w:t>
            </w:r>
          </w:p>
        </w:tc>
        <w:tc>
          <w:tcPr>
            <w:tcW w:w="8497" w:type="dxa"/>
            <w:vAlign w:val="center"/>
          </w:tcPr>
          <w:p w14:paraId="771CAA9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包装应当适合药品质量的要求，方便储存、运输和医疗使用。发运中药材应当有包装，在每件包装上应当注明品名、规格、数量、产地、采收（初加工）时间、供货单位，并附有质量合格标志。中药饮片标签内容包括品名、规格、产地、生产企业、产品批号、生产日期、执行标准、贮藏条件等，并附质量合格标识。医疗用毒性中药材、中药饮片标签，应当印有规定的标志。</w:t>
            </w:r>
          </w:p>
        </w:tc>
        <w:tc>
          <w:tcPr>
            <w:tcW w:w="5508" w:type="dxa"/>
            <w:vAlign w:val="center"/>
          </w:tcPr>
          <w:p w14:paraId="046667B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《中华人民共和国药品管理法》第四十八条、第四十九条。</w:t>
            </w:r>
          </w:p>
        </w:tc>
      </w:tr>
      <w:tr w14:paraId="0166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747" w:type="dxa"/>
            <w:vMerge w:val="restart"/>
            <w:vAlign w:val="center"/>
          </w:tcPr>
          <w:p w14:paraId="01DBB03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标签管理</w:t>
            </w:r>
          </w:p>
        </w:tc>
        <w:tc>
          <w:tcPr>
            <w:tcW w:w="742" w:type="dxa"/>
            <w:vAlign w:val="center"/>
          </w:tcPr>
          <w:p w14:paraId="6719963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22</w:t>
            </w:r>
          </w:p>
        </w:tc>
        <w:tc>
          <w:tcPr>
            <w:tcW w:w="8497" w:type="dxa"/>
            <w:vAlign w:val="center"/>
          </w:tcPr>
          <w:p w14:paraId="675DB95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标签的标识内容应当符合国家有关规定，并以相应的国家药品标准（含国家中药饮片炮制规范，下同）或者省、自治区、直辖市人民政府药品监督管理部门制定的炮制规范（以下简称省级中药饮片炮制规范）为依据，内容应当真实、准确、完整，不得印有误导使用和不适当宣传产品的文字和标识。中药饮片标签应当标注“中药饮片”字样，明示产品属性。</w:t>
            </w:r>
          </w:p>
          <w:p w14:paraId="5ECD0A8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pacing w:val="-2"/>
                <w:kern w:val="0"/>
                <w:sz w:val="18"/>
                <w:szCs w:val="18"/>
              </w:rPr>
              <w:t>实施审批管理的中药饮片的标签内容应当按照国家药品监督管理部门核准的内容进行标识。</w:t>
            </w:r>
          </w:p>
        </w:tc>
        <w:tc>
          <w:tcPr>
            <w:tcW w:w="5508" w:type="dxa"/>
            <w:vAlign w:val="center"/>
          </w:tcPr>
          <w:p w14:paraId="729E7A5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《中药饮片标签管理规定》第九条。</w:t>
            </w:r>
          </w:p>
        </w:tc>
      </w:tr>
      <w:tr w14:paraId="675E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jc w:val="center"/>
        </w:trPr>
        <w:tc>
          <w:tcPr>
            <w:tcW w:w="747" w:type="dxa"/>
            <w:vMerge w:val="continue"/>
            <w:vAlign w:val="center"/>
          </w:tcPr>
          <w:p w14:paraId="5B63A68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6BE6616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23</w:t>
            </w:r>
          </w:p>
        </w:tc>
        <w:tc>
          <w:tcPr>
            <w:tcW w:w="8497" w:type="dxa"/>
            <w:vAlign w:val="center"/>
          </w:tcPr>
          <w:p w14:paraId="42B3C1D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的内、外标签应当标注产品属性、品名、规格、药材产地、生产企业、产品批号、生产日期、装量、保质期、执行标准等内容。实施审批管理的中药饮片还应当按规定注明药品批准文号。对需置阴凉处、冷处、避光或者密闭保存等贮藏有特殊要求的中药饮片，应当在标签的醒目位置注明。如国家药品标准或者省级中药饮片炮制规范对规格项没有规定的，可以不标注产品规格。</w:t>
            </w:r>
          </w:p>
          <w:p w14:paraId="24EA859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中药饮片内标签因包装尺寸原因无法全部标注上述内容的，至少应当标注产品属性、品名、药材产地、规格或者装量、产品批号和保质期等内容。</w:t>
            </w:r>
          </w:p>
        </w:tc>
        <w:tc>
          <w:tcPr>
            <w:tcW w:w="5508" w:type="dxa"/>
            <w:vAlign w:val="center"/>
          </w:tcPr>
          <w:p w14:paraId="194CC51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《中药饮片标签管理规定》第十一条。</w:t>
            </w:r>
          </w:p>
        </w:tc>
      </w:tr>
      <w:tr w14:paraId="7764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47" w:type="dxa"/>
            <w:vMerge w:val="continue"/>
            <w:vAlign w:val="center"/>
          </w:tcPr>
          <w:p w14:paraId="0100D82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055913B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24</w:t>
            </w:r>
          </w:p>
        </w:tc>
        <w:tc>
          <w:tcPr>
            <w:tcW w:w="8497" w:type="dxa"/>
            <w:vAlign w:val="center"/>
          </w:tcPr>
          <w:p w14:paraId="595A2A1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中药饮片的保质期由中药饮片生产企业自主研究确定，在标签标注的期限内，中药饮片应当符合所执行的饮片炮制规范或者标准的要求。</w:t>
            </w:r>
          </w:p>
        </w:tc>
        <w:tc>
          <w:tcPr>
            <w:tcW w:w="5508" w:type="dxa"/>
            <w:vAlign w:val="center"/>
          </w:tcPr>
          <w:p w14:paraId="17C5362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《中药饮片标签管理规定》第十二条。</w:t>
            </w:r>
          </w:p>
        </w:tc>
      </w:tr>
      <w:tr w14:paraId="7BF2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47" w:type="dxa"/>
            <w:vMerge w:val="continue"/>
            <w:vAlign w:val="center"/>
          </w:tcPr>
          <w:p w14:paraId="0079638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47C97A4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25</w:t>
            </w:r>
          </w:p>
        </w:tc>
        <w:tc>
          <w:tcPr>
            <w:tcW w:w="8497" w:type="dxa"/>
            <w:vAlign w:val="center"/>
          </w:tcPr>
          <w:p w14:paraId="1A88BD1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发运中药饮片应当有包装。用于运输的包装，至少应当标注产品属性、品名、药材产地、</w:t>
            </w:r>
            <w:r>
              <w:rPr>
                <w:rFonts w:hint="eastAsia" w:ascii="方正仿宋_GBK" w:hAnsi="方正仿宋_GBK" w:eastAsia="方正仿宋_GBK" w:cs="方正仿宋_GBK"/>
                <w:spacing w:val="-2"/>
                <w:kern w:val="0"/>
                <w:sz w:val="18"/>
                <w:szCs w:val="18"/>
              </w:rPr>
              <w:t>调出单位、生产日期，也可以根据需要注明包装数量、运输注意事项或者其他标记等内容。</w:t>
            </w:r>
          </w:p>
        </w:tc>
        <w:tc>
          <w:tcPr>
            <w:tcW w:w="5508" w:type="dxa"/>
            <w:vAlign w:val="center"/>
          </w:tcPr>
          <w:p w14:paraId="21742B3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《中药饮片标签管理规定》第十三条。</w:t>
            </w:r>
          </w:p>
        </w:tc>
      </w:tr>
      <w:tr w14:paraId="68B2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747" w:type="dxa"/>
            <w:vMerge w:val="restart"/>
            <w:vAlign w:val="center"/>
          </w:tcPr>
          <w:p w14:paraId="3BE912E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标签管理</w:t>
            </w:r>
          </w:p>
        </w:tc>
        <w:tc>
          <w:tcPr>
            <w:tcW w:w="742" w:type="dxa"/>
            <w:vAlign w:val="center"/>
          </w:tcPr>
          <w:p w14:paraId="2792C11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26</w:t>
            </w:r>
          </w:p>
        </w:tc>
        <w:tc>
          <w:tcPr>
            <w:tcW w:w="8497" w:type="dxa"/>
            <w:vAlign w:val="center"/>
          </w:tcPr>
          <w:p w14:paraId="1F31937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生产企业可以根据需要在标签上标注中药饮片的药材基原、炮制辅料、生产地址、生产许可证编号、药品信息化追溯体系中的追溯码、物流单元标识代码、医保信息业务编码、防伪标识、投诉服务电话等与药品使用相关的内容。</w:t>
            </w:r>
          </w:p>
          <w:p w14:paraId="6993E65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对煎煮方法有特殊要求的，可以注明特殊煎煮方法或者遵医嘱。</w:t>
            </w:r>
          </w:p>
        </w:tc>
        <w:tc>
          <w:tcPr>
            <w:tcW w:w="5508" w:type="dxa"/>
            <w:vAlign w:val="center"/>
          </w:tcPr>
          <w:p w14:paraId="57EDD6E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《中药饮片标签管理规定》第十四条。</w:t>
            </w:r>
          </w:p>
        </w:tc>
      </w:tr>
      <w:tr w14:paraId="6E3E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47" w:type="dxa"/>
            <w:vMerge w:val="continue"/>
            <w:vAlign w:val="center"/>
          </w:tcPr>
          <w:p w14:paraId="5CD3130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64CAC02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27</w:t>
            </w:r>
          </w:p>
        </w:tc>
        <w:tc>
          <w:tcPr>
            <w:tcW w:w="8497" w:type="dxa"/>
            <w:vAlign w:val="center"/>
          </w:tcPr>
          <w:p w14:paraId="515B902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使用符合《中药材生产质量管理规范》（GAP）要求的中药材生产的中药饮片，可以按有关规定在标签适当位置标示“药材符合GAP要求”。使用从境外进口药材生产的中药饮片，标签上可以标注相应进口药材的通关单编号。</w:t>
            </w:r>
          </w:p>
        </w:tc>
        <w:tc>
          <w:tcPr>
            <w:tcW w:w="5508" w:type="dxa"/>
            <w:vAlign w:val="center"/>
          </w:tcPr>
          <w:p w14:paraId="1B14720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《中药饮片标签管理规定》第十五条。</w:t>
            </w:r>
          </w:p>
        </w:tc>
      </w:tr>
      <w:tr w14:paraId="7086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47" w:type="dxa"/>
            <w:vMerge w:val="continue"/>
            <w:vAlign w:val="center"/>
          </w:tcPr>
          <w:p w14:paraId="4B6C6C8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4D77797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28</w:t>
            </w:r>
          </w:p>
        </w:tc>
        <w:tc>
          <w:tcPr>
            <w:tcW w:w="8497" w:type="dxa"/>
            <w:vAlign w:val="center"/>
          </w:tcPr>
          <w:p w14:paraId="689D9B4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为保障临床用药安全，指导合理用药，中药饮片生产企业可以根据实际需要在标签上增加标注相关项目，如性味与归经、功能与主治、用法与用量和注意等，内容应当与其执行的国家药品标准或者省级中药饮片炮制规范相应内容一致。</w:t>
            </w:r>
          </w:p>
        </w:tc>
        <w:tc>
          <w:tcPr>
            <w:tcW w:w="5508" w:type="dxa"/>
            <w:vAlign w:val="center"/>
          </w:tcPr>
          <w:p w14:paraId="589DAAD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《中药饮片标签管理规定》第十六条。</w:t>
            </w:r>
          </w:p>
        </w:tc>
      </w:tr>
      <w:tr w14:paraId="60FD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747" w:type="dxa"/>
            <w:vMerge w:val="continue"/>
            <w:vAlign w:val="center"/>
          </w:tcPr>
          <w:p w14:paraId="4D2E958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471741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29</w:t>
            </w:r>
          </w:p>
        </w:tc>
        <w:tc>
          <w:tcPr>
            <w:tcW w:w="8497" w:type="dxa"/>
            <w:vAlign w:val="center"/>
          </w:tcPr>
          <w:p w14:paraId="5A624AE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中药饮片标签使用注册商标的，其应当印制在包装标签的边角。</w:t>
            </w:r>
          </w:p>
        </w:tc>
        <w:tc>
          <w:tcPr>
            <w:tcW w:w="5508" w:type="dxa"/>
            <w:vAlign w:val="center"/>
          </w:tcPr>
          <w:p w14:paraId="1658406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《中药饮片标签管理规定》第十七条。</w:t>
            </w:r>
          </w:p>
        </w:tc>
      </w:tr>
      <w:tr w14:paraId="5736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47" w:type="dxa"/>
            <w:vMerge w:val="continue"/>
            <w:vAlign w:val="center"/>
          </w:tcPr>
          <w:p w14:paraId="38E35D1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A0F0B4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30</w:t>
            </w:r>
          </w:p>
        </w:tc>
        <w:tc>
          <w:tcPr>
            <w:tcW w:w="8497" w:type="dxa"/>
            <w:vAlign w:val="center"/>
          </w:tcPr>
          <w:p w14:paraId="7A246B3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属于医疗用毒性药品、麻醉药品的中药饮片，其标签应当印有规定的专用标识，避免医疗使用中出现差错。涉及利用国家重点保护野生动物及其制品的中药饮片标签应当符合国家有关规定。</w:t>
            </w:r>
          </w:p>
        </w:tc>
        <w:tc>
          <w:tcPr>
            <w:tcW w:w="5508" w:type="dxa"/>
            <w:vAlign w:val="center"/>
          </w:tcPr>
          <w:p w14:paraId="728DBA6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《中药饮片标签管理规定》第十八条。</w:t>
            </w:r>
          </w:p>
        </w:tc>
      </w:tr>
      <w:tr w14:paraId="39F8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47" w:type="dxa"/>
            <w:vMerge w:val="continue"/>
            <w:vAlign w:val="center"/>
          </w:tcPr>
          <w:p w14:paraId="3CF5853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D8DF00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31</w:t>
            </w:r>
          </w:p>
        </w:tc>
        <w:tc>
          <w:tcPr>
            <w:tcW w:w="8497" w:type="dxa"/>
            <w:vAlign w:val="center"/>
          </w:tcPr>
          <w:p w14:paraId="3DE3B3D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中药饮片标签上标注的功能主治内容应当符合国家药品标准或者省级中药饮片炮制规范的规定。</w:t>
            </w:r>
          </w:p>
        </w:tc>
        <w:tc>
          <w:tcPr>
            <w:tcW w:w="5508" w:type="dxa"/>
            <w:vAlign w:val="center"/>
          </w:tcPr>
          <w:p w14:paraId="6DDA129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《中药饮片标签管理规定》第二十条。</w:t>
            </w:r>
          </w:p>
        </w:tc>
      </w:tr>
      <w:tr w14:paraId="601F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47" w:type="dxa"/>
            <w:vAlign w:val="center"/>
          </w:tcPr>
          <w:p w14:paraId="333EAC9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标签管理</w:t>
            </w:r>
          </w:p>
        </w:tc>
        <w:tc>
          <w:tcPr>
            <w:tcW w:w="742" w:type="dxa"/>
            <w:vAlign w:val="center"/>
          </w:tcPr>
          <w:p w14:paraId="03C17A9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32</w:t>
            </w:r>
          </w:p>
        </w:tc>
        <w:tc>
          <w:tcPr>
            <w:tcW w:w="8497" w:type="dxa"/>
            <w:vAlign w:val="center"/>
          </w:tcPr>
          <w:p w14:paraId="6F5B952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直接接触中药配方颗粒包装的标签至少应当标注备案号、名称、中药饮片执行标准、中药配方颗粒执行标准、规格、生产日期、产品批号、保质期、贮藏、生产企业、生产地址、联系方式等内容。</w:t>
            </w:r>
          </w:p>
        </w:tc>
        <w:tc>
          <w:tcPr>
            <w:tcW w:w="5508" w:type="dxa"/>
            <w:vAlign w:val="center"/>
          </w:tcPr>
          <w:p w14:paraId="68CCF9A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《国家药监局 国家中医药局 国家卫生健康委 国家医保局关于结束中药配方颗粒试点工作的公告》（2021年第22号）第十二条。</w:t>
            </w:r>
          </w:p>
        </w:tc>
      </w:tr>
      <w:tr w14:paraId="477B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47" w:type="dxa"/>
            <w:vMerge w:val="restart"/>
            <w:vAlign w:val="center"/>
          </w:tcPr>
          <w:p w14:paraId="2B9595C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委托销售与储运管理</w:t>
            </w:r>
          </w:p>
        </w:tc>
        <w:tc>
          <w:tcPr>
            <w:tcW w:w="742" w:type="dxa"/>
            <w:vAlign w:val="center"/>
          </w:tcPr>
          <w:p w14:paraId="12597E4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33</w:t>
            </w:r>
          </w:p>
        </w:tc>
        <w:tc>
          <w:tcPr>
            <w:tcW w:w="8497" w:type="dxa"/>
            <w:vAlign w:val="center"/>
          </w:tcPr>
          <w:p w14:paraId="46E9DB4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委托储存、运输中药饮片的，应当对受托方的质量保证能力和风险管理能力进行评估，与其签订委托协议，约定中药饮片储存、运输质量责任、操作规程等内容，并对受托方进行监督。</w:t>
            </w:r>
          </w:p>
        </w:tc>
        <w:tc>
          <w:tcPr>
            <w:tcW w:w="5508" w:type="dxa"/>
            <w:vAlign w:val="center"/>
          </w:tcPr>
          <w:p w14:paraId="52C5666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《中华人民共和国药品管理法》第三十五条。</w:t>
            </w:r>
          </w:p>
        </w:tc>
      </w:tr>
      <w:tr w14:paraId="71BF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747" w:type="dxa"/>
            <w:vMerge w:val="continue"/>
            <w:vAlign w:val="center"/>
          </w:tcPr>
          <w:p w14:paraId="15E8BC3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1839292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34</w:t>
            </w:r>
          </w:p>
        </w:tc>
        <w:tc>
          <w:tcPr>
            <w:tcW w:w="8497" w:type="dxa"/>
            <w:vAlign w:val="center"/>
          </w:tcPr>
          <w:p w14:paraId="75690FE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委托销售中药饮片的，接受委托的药品经营企业应当具有相应的经营范围。受托方不得再次委托销售。委托方应当与受托方签订委托协议，明确约定药品质量责任等内容，对受托方销售行为进行监督。</w:t>
            </w:r>
          </w:p>
          <w:p w14:paraId="6352449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委托销售中药饮片的，应当向其所在地省、自治区、直辖市药品监督管理部门报告；跨省、自治区、直辖市委托销售的，应当同时报告药品经营企业所在地省、自治区、直辖市药品监督管理部门。</w:t>
            </w:r>
          </w:p>
        </w:tc>
        <w:tc>
          <w:tcPr>
            <w:tcW w:w="5508" w:type="dxa"/>
            <w:vAlign w:val="center"/>
          </w:tcPr>
          <w:p w14:paraId="2D6A6CE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《药品经营和使用质量监督管理办法》第三十四条。</w:t>
            </w:r>
          </w:p>
        </w:tc>
      </w:tr>
      <w:tr w14:paraId="04F9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747" w:type="dxa"/>
            <w:vMerge w:val="continue"/>
            <w:vAlign w:val="center"/>
          </w:tcPr>
          <w:p w14:paraId="5630A6D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0C2850F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35</w:t>
            </w:r>
          </w:p>
        </w:tc>
        <w:tc>
          <w:tcPr>
            <w:tcW w:w="8497" w:type="dxa"/>
            <w:vAlign w:val="center"/>
          </w:tcPr>
          <w:p w14:paraId="5F3D65C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委托储存、运输中药饮片的，应当对受托方质量保证能力和风险管理能力进行评估，与其签订委托协议，约定中药饮片质量责任、操作规程等内容，对受托方进行监督，并开展定期检查。</w:t>
            </w:r>
          </w:p>
          <w:p w14:paraId="60E93B0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委托储存中药饮片的，应当按规定向委托方、受托方所在地省、自治区、直辖市药品监督管理部门报告。药品经营企业委托储存药品的，按照变更仓库地址办理。</w:t>
            </w:r>
          </w:p>
        </w:tc>
        <w:tc>
          <w:tcPr>
            <w:tcW w:w="5508" w:type="dxa"/>
            <w:vAlign w:val="center"/>
          </w:tcPr>
          <w:p w14:paraId="1E416F4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《药品经营和使用质量监督管理办法》第四十五条。</w:t>
            </w:r>
          </w:p>
        </w:tc>
      </w:tr>
      <w:tr w14:paraId="3166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47" w:type="dxa"/>
            <w:vMerge w:val="continue"/>
            <w:vAlign w:val="center"/>
          </w:tcPr>
          <w:p w14:paraId="15B3510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50D97D0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36</w:t>
            </w:r>
          </w:p>
        </w:tc>
        <w:tc>
          <w:tcPr>
            <w:tcW w:w="8497" w:type="dxa"/>
            <w:vAlign w:val="center"/>
          </w:tcPr>
          <w:p w14:paraId="7F02B61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中药饮片包装操作应当采取降低混淆和差错风险的措施并确保保质期内的药品储存运输过程中不受污染。</w:t>
            </w:r>
          </w:p>
        </w:tc>
        <w:tc>
          <w:tcPr>
            <w:tcW w:w="5508" w:type="dxa"/>
            <w:vAlign w:val="center"/>
          </w:tcPr>
          <w:p w14:paraId="565075E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《药品生产监督管理办法》第三十六条。</w:t>
            </w:r>
          </w:p>
        </w:tc>
      </w:tr>
      <w:tr w14:paraId="20A0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47" w:type="dxa"/>
            <w:vMerge w:val="restart"/>
            <w:vAlign w:val="center"/>
          </w:tcPr>
          <w:p w14:paraId="20D5E38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销售及产品召回</w:t>
            </w:r>
          </w:p>
        </w:tc>
        <w:tc>
          <w:tcPr>
            <w:tcW w:w="742" w:type="dxa"/>
            <w:vAlign w:val="center"/>
          </w:tcPr>
          <w:p w14:paraId="4D0B9F9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37</w:t>
            </w:r>
          </w:p>
        </w:tc>
        <w:tc>
          <w:tcPr>
            <w:tcW w:w="8497" w:type="dxa"/>
            <w:vAlign w:val="center"/>
          </w:tcPr>
          <w:p w14:paraId="1DCA204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中药饮片生产企业履行药品上市许可持有人的相关义务，对中药饮片生产、销售实行全过程管理，建立中药饮片追溯体系，保证中药饮片安全、有效、可追溯。</w:t>
            </w:r>
          </w:p>
        </w:tc>
        <w:tc>
          <w:tcPr>
            <w:tcW w:w="5508" w:type="dxa"/>
            <w:vAlign w:val="center"/>
          </w:tcPr>
          <w:p w14:paraId="7E63B43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《中华人民共和国药品管理法》第三十九条。</w:t>
            </w:r>
          </w:p>
        </w:tc>
      </w:tr>
      <w:tr w14:paraId="0DFE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747" w:type="dxa"/>
            <w:vMerge w:val="continue"/>
            <w:vAlign w:val="center"/>
          </w:tcPr>
          <w:p w14:paraId="0FEC16B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935058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38</w:t>
            </w:r>
          </w:p>
        </w:tc>
        <w:tc>
          <w:tcPr>
            <w:tcW w:w="8497" w:type="dxa"/>
            <w:vAlign w:val="center"/>
          </w:tcPr>
          <w:p w14:paraId="107BAA1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存在质量问题或者其他安全隐患的，企业应当立即停止销售，告知相关药品经营企业和医疗机构停止销售和使用，召回已销售的中药饮片，及时公开召回信息，必要时应当立即停止生产，并将药品召回和处理情况向省、自治区、直辖市人民政府药品监督管理部门和卫生健康主管部门报告。</w:t>
            </w:r>
          </w:p>
        </w:tc>
        <w:tc>
          <w:tcPr>
            <w:tcW w:w="5508" w:type="dxa"/>
            <w:vAlign w:val="center"/>
          </w:tcPr>
          <w:p w14:paraId="74C40A0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《中华人民共和国药品管理法》第八十二条。</w:t>
            </w:r>
          </w:p>
        </w:tc>
      </w:tr>
      <w:tr w14:paraId="2AB9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47" w:type="dxa"/>
            <w:vMerge w:val="continue"/>
            <w:vAlign w:val="center"/>
          </w:tcPr>
          <w:p w14:paraId="03D4C3A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2947DC9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39</w:t>
            </w:r>
          </w:p>
        </w:tc>
        <w:tc>
          <w:tcPr>
            <w:tcW w:w="8497" w:type="dxa"/>
            <w:vAlign w:val="center"/>
          </w:tcPr>
          <w:p w14:paraId="7F1122E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跨省销售使用中药配方颗粒的，生产企业应当报使用地省级药品监督管理部门备案。无国</w:t>
            </w:r>
            <w:r>
              <w:rPr>
                <w:rFonts w:hint="eastAsia" w:ascii="方正仿宋_GBK" w:hAnsi="方正仿宋_GBK" w:eastAsia="方正仿宋_GBK" w:cs="方正仿宋_GBK"/>
                <w:spacing w:val="-6"/>
                <w:kern w:val="0"/>
                <w:sz w:val="18"/>
                <w:szCs w:val="18"/>
              </w:rPr>
              <w:t>家药品标准的中药配方颗粒跨省使用的，应当符合使用地省级药品监督管理部门制定的标准。</w:t>
            </w:r>
          </w:p>
        </w:tc>
        <w:tc>
          <w:tcPr>
            <w:tcW w:w="5508" w:type="dxa"/>
            <w:vAlign w:val="center"/>
          </w:tcPr>
          <w:p w14:paraId="103BBAC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《国家药监局 国家中医药局 国家卫生健康委 国家医保局关于结束中药配方颗粒试点工作的公告》（2021年第22号）第八条。</w:t>
            </w:r>
          </w:p>
        </w:tc>
      </w:tr>
      <w:tr w14:paraId="7C5A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747" w:type="dxa"/>
            <w:vAlign w:val="center"/>
          </w:tcPr>
          <w:p w14:paraId="193D8A9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自查报告管理</w:t>
            </w:r>
          </w:p>
        </w:tc>
        <w:tc>
          <w:tcPr>
            <w:tcW w:w="742" w:type="dxa"/>
            <w:vAlign w:val="center"/>
          </w:tcPr>
          <w:p w14:paraId="529B31A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40</w:t>
            </w:r>
          </w:p>
        </w:tc>
        <w:tc>
          <w:tcPr>
            <w:tcW w:w="8497" w:type="dxa"/>
            <w:vAlign w:val="center"/>
          </w:tcPr>
          <w:p w14:paraId="206AC75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中药饮片生产企业应当依法履行持有人的相关义务，建立并实施年度报告制度。其中上市后研究及变更管理情况应当包括生产中药饮片用中药材质量审核评估情况，以及炮制或者生产工艺变更验证情况等内容。</w:t>
            </w:r>
          </w:p>
        </w:tc>
        <w:tc>
          <w:tcPr>
            <w:tcW w:w="5508" w:type="dxa"/>
            <w:vAlign w:val="center"/>
          </w:tcPr>
          <w:p w14:paraId="685B8DE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《药品年度报告管理规定》第四条、第十一条。</w:t>
            </w:r>
          </w:p>
        </w:tc>
      </w:tr>
      <w:tr w14:paraId="6CF7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5494" w:type="dxa"/>
            <w:gridSpan w:val="4"/>
            <w:vAlign w:val="center"/>
          </w:tcPr>
          <w:p w14:paraId="42113BC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注：除本清单列出的药品质量安全主体责任义务性规定外，中药饮片生产企业还应对照《中华人民共和国药品管理法》等相关法律、法规、规章、标准和技术规范相关要求，全面履行药品质量安全主体责任；相关法律、法规、规章等规定有变化的，按照新的规定落实主体责任。</w:t>
            </w:r>
          </w:p>
        </w:tc>
      </w:tr>
    </w:tbl>
    <w:p w14:paraId="3A76BC15">
      <w:pPr>
        <w:rPr>
          <w:rFonts w:ascii="Times New Roman" w:hAnsi="Times New Roman"/>
        </w:rPr>
      </w:pPr>
      <w:r>
        <w:rPr>
          <w:rFonts w:ascii="Times New Roman" w:hAnsi="Times New Roman"/>
        </w:rPr>
        <w:br w:type="page"/>
      </w:r>
    </w:p>
    <w:tbl>
      <w:tblPr>
        <w:tblStyle w:val="9"/>
        <w:tblW w:w="15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49"/>
        <w:gridCol w:w="742"/>
        <w:gridCol w:w="8497"/>
        <w:gridCol w:w="5509"/>
      </w:tblGrid>
      <w:tr w14:paraId="6D02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05" w:hRule="atLeast"/>
          <w:tblHeader/>
          <w:jc w:val="center"/>
        </w:trPr>
        <w:tc>
          <w:tcPr>
            <w:tcW w:w="749" w:type="dxa"/>
            <w:shd w:val="clear" w:color="auto" w:fill="FFFFFF"/>
            <w:tcMar>
              <w:left w:w="108" w:type="dxa"/>
              <w:right w:w="108" w:type="dxa"/>
            </w:tcMar>
            <w:vAlign w:val="center"/>
          </w:tcPr>
          <w:p w14:paraId="31B305C2">
            <w:pPr>
              <w:snapToGrid w:val="0"/>
              <w:spacing w:line="400" w:lineRule="exact"/>
              <w:jc w:val="center"/>
              <w:rPr>
                <w:rFonts w:eastAsia="方正黑体_GBK" w:cs="方正黑体_GBK"/>
                <w:sz w:val="18"/>
                <w:szCs w:val="18"/>
              </w:rPr>
            </w:pPr>
            <w:r>
              <w:rPr>
                <w:rFonts w:hint="eastAsia" w:eastAsia="方正黑体_GBK" w:cs="方正黑体_GBK"/>
                <w:sz w:val="18"/>
                <w:szCs w:val="18"/>
              </w:rPr>
              <w:t>表6</w:t>
            </w:r>
          </w:p>
        </w:tc>
        <w:tc>
          <w:tcPr>
            <w:tcW w:w="14748" w:type="dxa"/>
            <w:gridSpan w:val="3"/>
            <w:shd w:val="clear" w:color="auto" w:fill="FFFFFF"/>
            <w:tcMar>
              <w:left w:w="108" w:type="dxa"/>
              <w:right w:w="108" w:type="dxa"/>
            </w:tcMar>
            <w:vAlign w:val="center"/>
          </w:tcPr>
          <w:p w14:paraId="03907E83">
            <w:pPr>
              <w:snapToGrid w:val="0"/>
              <w:spacing w:line="400" w:lineRule="exact"/>
              <w:jc w:val="center"/>
              <w:rPr>
                <w:rFonts w:eastAsia="方正黑体_GBK" w:cs="方正黑体_GBK"/>
                <w:sz w:val="18"/>
                <w:szCs w:val="18"/>
              </w:rPr>
            </w:pPr>
            <w:r>
              <w:rPr>
                <w:rFonts w:hint="eastAsia" w:eastAsia="方正黑体_GBK" w:cs="方正黑体_GBK"/>
                <w:sz w:val="18"/>
                <w:szCs w:val="18"/>
              </w:rPr>
              <w:t>医疗器械注册人、备案人主体责任清单</w:t>
            </w:r>
          </w:p>
        </w:tc>
      </w:tr>
      <w:tr w14:paraId="5BD8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749" w:type="dxa"/>
            <w:shd w:val="clear" w:color="auto" w:fill="FFFFFF"/>
            <w:tcMar>
              <w:left w:w="108" w:type="dxa"/>
              <w:right w:w="108" w:type="dxa"/>
            </w:tcMar>
            <w:vAlign w:val="center"/>
          </w:tcPr>
          <w:p w14:paraId="62536A9F">
            <w:pPr>
              <w:snapToGrid w:val="0"/>
              <w:spacing w:line="400" w:lineRule="exact"/>
              <w:jc w:val="center"/>
              <w:rPr>
                <w:rFonts w:eastAsia="方正黑体_GBK" w:cs="方正黑体_GBK"/>
                <w:sz w:val="18"/>
                <w:szCs w:val="18"/>
              </w:rPr>
            </w:pPr>
            <w:r>
              <w:rPr>
                <w:rFonts w:hint="eastAsia" w:eastAsia="方正黑体_GBK" w:cs="方正黑体_GBK"/>
                <w:sz w:val="18"/>
                <w:szCs w:val="18"/>
              </w:rPr>
              <w:t>分类</w:t>
            </w:r>
          </w:p>
        </w:tc>
        <w:tc>
          <w:tcPr>
            <w:tcW w:w="742" w:type="dxa"/>
            <w:shd w:val="clear" w:color="auto" w:fill="FFFFFF"/>
            <w:tcMar>
              <w:left w:w="108" w:type="dxa"/>
              <w:right w:w="108" w:type="dxa"/>
            </w:tcMar>
            <w:vAlign w:val="center"/>
          </w:tcPr>
          <w:p w14:paraId="7596DE19">
            <w:pPr>
              <w:snapToGrid w:val="0"/>
              <w:spacing w:line="400" w:lineRule="exact"/>
              <w:jc w:val="center"/>
              <w:rPr>
                <w:rFonts w:eastAsia="方正黑体_GBK" w:cs="方正黑体_GBK"/>
                <w:sz w:val="18"/>
                <w:szCs w:val="18"/>
              </w:rPr>
            </w:pPr>
            <w:r>
              <w:rPr>
                <w:rFonts w:hint="eastAsia" w:eastAsia="方正黑体_GBK" w:cs="方正黑体_GBK"/>
                <w:sz w:val="18"/>
                <w:szCs w:val="18"/>
              </w:rPr>
              <w:t>序号</w:t>
            </w:r>
          </w:p>
        </w:tc>
        <w:tc>
          <w:tcPr>
            <w:tcW w:w="8497" w:type="dxa"/>
            <w:shd w:val="clear" w:color="auto" w:fill="FFFFFF"/>
            <w:tcMar>
              <w:left w:w="108" w:type="dxa"/>
              <w:right w:w="108" w:type="dxa"/>
            </w:tcMar>
            <w:vAlign w:val="center"/>
          </w:tcPr>
          <w:p w14:paraId="49B7EF5B">
            <w:pPr>
              <w:snapToGrid w:val="0"/>
              <w:spacing w:line="400" w:lineRule="exact"/>
              <w:jc w:val="center"/>
              <w:rPr>
                <w:rFonts w:eastAsia="方正黑体_GBK" w:cs="方正黑体_GBK"/>
                <w:sz w:val="18"/>
                <w:szCs w:val="18"/>
              </w:rPr>
            </w:pPr>
            <w:r>
              <w:rPr>
                <w:rFonts w:hint="eastAsia" w:eastAsia="方正黑体_GBK" w:cs="方正黑体_GBK"/>
                <w:sz w:val="18"/>
                <w:szCs w:val="18"/>
              </w:rPr>
              <w:t>主体责任</w:t>
            </w:r>
          </w:p>
        </w:tc>
        <w:tc>
          <w:tcPr>
            <w:tcW w:w="5509" w:type="dxa"/>
            <w:shd w:val="clear" w:color="auto" w:fill="FFFFFF"/>
            <w:tcMar>
              <w:left w:w="108" w:type="dxa"/>
              <w:right w:w="108" w:type="dxa"/>
            </w:tcMar>
            <w:vAlign w:val="center"/>
          </w:tcPr>
          <w:p w14:paraId="4A95E23D">
            <w:pPr>
              <w:snapToGrid w:val="0"/>
              <w:spacing w:line="400" w:lineRule="exact"/>
              <w:jc w:val="center"/>
              <w:rPr>
                <w:rFonts w:eastAsia="方正黑体_GBK" w:cs="方正黑体_GBK"/>
                <w:sz w:val="18"/>
                <w:szCs w:val="18"/>
              </w:rPr>
            </w:pPr>
            <w:r>
              <w:rPr>
                <w:rFonts w:hint="eastAsia" w:eastAsia="方正黑体_GBK" w:cs="方正黑体_GBK"/>
                <w:sz w:val="18"/>
                <w:szCs w:val="18"/>
              </w:rPr>
              <w:t>责任依据</w:t>
            </w:r>
          </w:p>
        </w:tc>
      </w:tr>
      <w:tr w14:paraId="15AE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atLeast"/>
          <w:jc w:val="center"/>
        </w:trPr>
        <w:tc>
          <w:tcPr>
            <w:tcW w:w="749" w:type="dxa"/>
            <w:vMerge w:val="restart"/>
            <w:shd w:val="clear" w:color="auto" w:fill="FFFFFF"/>
            <w:tcMar>
              <w:left w:w="108" w:type="dxa"/>
              <w:right w:w="108" w:type="dxa"/>
            </w:tcMar>
            <w:vAlign w:val="center"/>
          </w:tcPr>
          <w:p w14:paraId="0DDEB13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总体责任</w:t>
            </w:r>
          </w:p>
        </w:tc>
        <w:tc>
          <w:tcPr>
            <w:tcW w:w="742" w:type="dxa"/>
            <w:shd w:val="clear" w:color="auto" w:fill="FFFFFF"/>
            <w:tcMar>
              <w:left w:w="108" w:type="dxa"/>
              <w:right w:w="108" w:type="dxa"/>
            </w:tcMar>
            <w:vAlign w:val="center"/>
          </w:tcPr>
          <w:p w14:paraId="30DB60A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w:t>
            </w:r>
          </w:p>
        </w:tc>
        <w:tc>
          <w:tcPr>
            <w:tcW w:w="8497" w:type="dxa"/>
            <w:shd w:val="clear" w:color="auto" w:fill="FFFFFF"/>
            <w:tcMar>
              <w:left w:w="108" w:type="dxa"/>
              <w:right w:w="108" w:type="dxa"/>
            </w:tcMar>
            <w:vAlign w:val="center"/>
          </w:tcPr>
          <w:p w14:paraId="0735D6B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医疗器械产品应当符合医疗器械强制性国家标准；尚无强制性国家标准的，应当符合医疗器械强制性行业标准。</w:t>
            </w:r>
          </w:p>
        </w:tc>
        <w:tc>
          <w:tcPr>
            <w:tcW w:w="5509" w:type="dxa"/>
            <w:shd w:val="clear" w:color="auto" w:fill="FFFFFF"/>
            <w:tcMar>
              <w:left w:w="108" w:type="dxa"/>
              <w:right w:w="108" w:type="dxa"/>
            </w:tcMar>
            <w:vAlign w:val="center"/>
          </w:tcPr>
          <w:p w14:paraId="6EE5EC2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《医疗器械监督管理条例》第七条。</w:t>
            </w:r>
          </w:p>
        </w:tc>
      </w:tr>
      <w:tr w14:paraId="5FCD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749" w:type="dxa"/>
            <w:vMerge w:val="continue"/>
            <w:shd w:val="clear" w:color="auto" w:fill="FFFFFF"/>
            <w:tcMar>
              <w:left w:w="108" w:type="dxa"/>
              <w:right w:w="108" w:type="dxa"/>
            </w:tcMar>
            <w:vAlign w:val="center"/>
          </w:tcPr>
          <w:p w14:paraId="3290E1A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16D0DB7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w:t>
            </w:r>
          </w:p>
        </w:tc>
        <w:tc>
          <w:tcPr>
            <w:tcW w:w="8497" w:type="dxa"/>
            <w:shd w:val="clear" w:color="auto" w:fill="FFFFFF"/>
            <w:tcMar>
              <w:left w:w="108" w:type="dxa"/>
              <w:right w:w="108" w:type="dxa"/>
            </w:tcMar>
            <w:vAlign w:val="center"/>
          </w:tcPr>
          <w:p w14:paraId="0CA924E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snapToGrid w:val="0"/>
                <w:kern w:val="0"/>
                <w:sz w:val="18"/>
                <w:szCs w:val="18"/>
              </w:rPr>
              <w:t>医疗器械注册人、备案人应当加强医疗器械全生命周期质量管理，对研制、生产、经营、使用全过程中医疗器械的安全性、有效性依法承担责任。</w:t>
            </w:r>
          </w:p>
        </w:tc>
        <w:tc>
          <w:tcPr>
            <w:tcW w:w="5509" w:type="dxa"/>
            <w:shd w:val="clear" w:color="auto" w:fill="FFFFFF"/>
            <w:tcMar>
              <w:left w:w="108" w:type="dxa"/>
              <w:right w:w="108" w:type="dxa"/>
            </w:tcMar>
            <w:vAlign w:val="center"/>
          </w:tcPr>
          <w:p w14:paraId="192F4BC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《医疗器械监督管理条例》第十三条。</w:t>
            </w:r>
          </w:p>
        </w:tc>
      </w:tr>
      <w:tr w14:paraId="4A9C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2" w:hRule="atLeast"/>
          <w:jc w:val="center"/>
        </w:trPr>
        <w:tc>
          <w:tcPr>
            <w:tcW w:w="749" w:type="dxa"/>
            <w:vMerge w:val="continue"/>
            <w:shd w:val="clear" w:color="auto" w:fill="FFFFFF"/>
            <w:tcMar>
              <w:left w:w="108" w:type="dxa"/>
              <w:right w:w="108" w:type="dxa"/>
            </w:tcMar>
            <w:vAlign w:val="center"/>
          </w:tcPr>
          <w:p w14:paraId="0F89C84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6DAD53F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w:t>
            </w:r>
          </w:p>
        </w:tc>
        <w:tc>
          <w:tcPr>
            <w:tcW w:w="8497" w:type="dxa"/>
            <w:shd w:val="clear" w:color="auto" w:fill="FFFFFF"/>
            <w:tcMar>
              <w:left w:w="108" w:type="dxa"/>
              <w:right w:w="108" w:type="dxa"/>
            </w:tcMar>
            <w:vAlign w:val="center"/>
          </w:tcPr>
          <w:p w14:paraId="02A9633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医疗器械注册人、备案人应当履行下列义务：</w:t>
            </w:r>
          </w:p>
          <w:p w14:paraId="19FE299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（一）建立与产品相适应的质量管理体系并保持有效运行；</w:t>
            </w:r>
          </w:p>
          <w:p w14:paraId="46B1575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（二）制定上市后研究和风险管控计划并保证有效实施；</w:t>
            </w:r>
          </w:p>
          <w:p w14:paraId="1A2B064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（三）依法开展不良事件监测和再评价；</w:t>
            </w:r>
          </w:p>
          <w:p w14:paraId="5C38FEA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（四）建立并执行产品追溯和召回制度；</w:t>
            </w:r>
          </w:p>
          <w:p w14:paraId="0FC3B2F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（五）国务院药品监督管理部门规定的其他义务。</w:t>
            </w:r>
          </w:p>
          <w:p w14:paraId="3654F34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境外医疗器械注册人、备案人指定的我国境内企业法人应当协助注册人、备案人履行前款规定的义务。</w:t>
            </w:r>
          </w:p>
        </w:tc>
        <w:tc>
          <w:tcPr>
            <w:tcW w:w="5509" w:type="dxa"/>
            <w:shd w:val="clear" w:color="auto" w:fill="FFFFFF"/>
            <w:tcMar>
              <w:left w:w="108" w:type="dxa"/>
              <w:right w:w="108" w:type="dxa"/>
            </w:tcMar>
            <w:vAlign w:val="center"/>
          </w:tcPr>
          <w:p w14:paraId="1E183D2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《医疗器械监督管理条例》第二十条。</w:t>
            </w:r>
          </w:p>
        </w:tc>
      </w:tr>
      <w:tr w14:paraId="472B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49" w:type="dxa"/>
            <w:vMerge w:val="continue"/>
            <w:shd w:val="clear" w:color="auto" w:fill="FFFFFF"/>
            <w:tcMar>
              <w:left w:w="108" w:type="dxa"/>
              <w:right w:w="108" w:type="dxa"/>
            </w:tcMar>
            <w:vAlign w:val="center"/>
          </w:tcPr>
          <w:p w14:paraId="56B8B19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797816E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w:t>
            </w:r>
          </w:p>
        </w:tc>
        <w:tc>
          <w:tcPr>
            <w:tcW w:w="8497" w:type="dxa"/>
            <w:shd w:val="clear" w:color="auto" w:fill="FFFFFF"/>
            <w:tcMar>
              <w:left w:w="108" w:type="dxa"/>
              <w:right w:w="108" w:type="dxa"/>
            </w:tcMar>
            <w:vAlign w:val="center"/>
          </w:tcPr>
          <w:p w14:paraId="40B0C5A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从事医疗器械生产活动，应当遵守法律、法规、规章、强制性标准和医疗器械生产质量管理规范，保证医疗器械生产全过程信息真实、准确、完整和可追溯。</w:t>
            </w:r>
          </w:p>
        </w:tc>
        <w:tc>
          <w:tcPr>
            <w:tcW w:w="5509" w:type="dxa"/>
            <w:shd w:val="clear" w:color="auto" w:fill="FFFFFF"/>
            <w:tcMar>
              <w:left w:w="108" w:type="dxa"/>
              <w:right w:w="108" w:type="dxa"/>
            </w:tcMar>
            <w:vAlign w:val="center"/>
          </w:tcPr>
          <w:p w14:paraId="673EA26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《医疗器械生产监督管理办法》第三条。</w:t>
            </w:r>
          </w:p>
        </w:tc>
      </w:tr>
      <w:tr w14:paraId="26A2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749" w:type="dxa"/>
            <w:vMerge w:val="continue"/>
            <w:shd w:val="clear" w:color="auto" w:fill="FFFFFF"/>
            <w:tcMar>
              <w:left w:w="108" w:type="dxa"/>
              <w:right w:w="108" w:type="dxa"/>
            </w:tcMar>
            <w:vAlign w:val="center"/>
          </w:tcPr>
          <w:p w14:paraId="4DAD226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57DA00E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8497" w:type="dxa"/>
            <w:shd w:val="clear" w:color="auto" w:fill="FFFFFF"/>
            <w:tcMar>
              <w:left w:w="108" w:type="dxa"/>
              <w:right w:w="108" w:type="dxa"/>
            </w:tcMar>
            <w:vAlign w:val="center"/>
          </w:tcPr>
          <w:p w14:paraId="43B9F1B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医疗器械注册人、备案人的法定代表人、主要负责人对其生产的医疗器械质量安全全面负责。</w:t>
            </w:r>
          </w:p>
        </w:tc>
        <w:tc>
          <w:tcPr>
            <w:tcW w:w="5509" w:type="dxa"/>
            <w:shd w:val="clear" w:color="auto" w:fill="FFFFFF"/>
            <w:tcMar>
              <w:left w:w="108" w:type="dxa"/>
              <w:right w:w="108" w:type="dxa"/>
            </w:tcMar>
            <w:vAlign w:val="center"/>
          </w:tcPr>
          <w:p w14:paraId="4665B3B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《医疗器械生产监督管理办法》第二十六条。</w:t>
            </w:r>
          </w:p>
        </w:tc>
      </w:tr>
      <w:tr w14:paraId="6D34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1" w:hRule="atLeast"/>
          <w:jc w:val="center"/>
        </w:trPr>
        <w:tc>
          <w:tcPr>
            <w:tcW w:w="749" w:type="dxa"/>
            <w:vMerge w:val="restart"/>
            <w:shd w:val="clear" w:color="auto" w:fill="FFFFFF"/>
            <w:tcMar>
              <w:left w:w="108" w:type="dxa"/>
              <w:right w:w="108" w:type="dxa"/>
            </w:tcMar>
            <w:vAlign w:val="center"/>
          </w:tcPr>
          <w:p w14:paraId="37B4E25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临床评价或试验</w:t>
            </w:r>
          </w:p>
        </w:tc>
        <w:tc>
          <w:tcPr>
            <w:tcW w:w="742" w:type="dxa"/>
            <w:shd w:val="clear" w:color="auto" w:fill="FFFFFF"/>
            <w:tcMar>
              <w:left w:w="108" w:type="dxa"/>
              <w:right w:w="108" w:type="dxa"/>
            </w:tcMar>
            <w:vAlign w:val="center"/>
          </w:tcPr>
          <w:p w14:paraId="19AC5DC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8497" w:type="dxa"/>
            <w:shd w:val="clear" w:color="auto" w:fill="FFFFFF"/>
            <w:tcMar>
              <w:left w:w="108" w:type="dxa"/>
              <w:right w:w="108" w:type="dxa"/>
            </w:tcMar>
            <w:vAlign w:val="center"/>
          </w:tcPr>
          <w:p w14:paraId="03BA637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医疗器械产品注册、备案，应当进行临床评价；但是符合下列情形之一，可以免于进行临床评价：</w:t>
            </w:r>
          </w:p>
          <w:p w14:paraId="083DCD1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（一）工作机理明确、设计定型，生产工艺成熟，已上市的同品种医疗器械临床应用多年且无严重不良事件记录，不改变常规用途的；</w:t>
            </w:r>
          </w:p>
          <w:p w14:paraId="15E8D38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（二）其他通过非临床评价能够证明该医疗器械安全、有效的。</w:t>
            </w:r>
          </w:p>
        </w:tc>
        <w:tc>
          <w:tcPr>
            <w:tcW w:w="5509" w:type="dxa"/>
            <w:shd w:val="clear" w:color="auto" w:fill="FFFFFF"/>
            <w:tcMar>
              <w:left w:w="108" w:type="dxa"/>
              <w:right w:w="108" w:type="dxa"/>
            </w:tcMar>
            <w:vAlign w:val="center"/>
          </w:tcPr>
          <w:p w14:paraId="3AA77BE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《医疗器械监督管理条例》第二十四条。</w:t>
            </w:r>
          </w:p>
        </w:tc>
      </w:tr>
      <w:tr w14:paraId="081B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749" w:type="dxa"/>
            <w:vMerge w:val="continue"/>
            <w:shd w:val="clear" w:color="auto" w:fill="FFFFFF"/>
            <w:tcMar>
              <w:left w:w="108" w:type="dxa"/>
              <w:right w:w="108" w:type="dxa"/>
            </w:tcMar>
            <w:vAlign w:val="center"/>
          </w:tcPr>
          <w:p w14:paraId="12F3865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6DD4F83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w:t>
            </w:r>
          </w:p>
        </w:tc>
        <w:tc>
          <w:tcPr>
            <w:tcW w:w="8497" w:type="dxa"/>
            <w:shd w:val="clear" w:color="auto" w:fill="FFFFFF"/>
            <w:tcMar>
              <w:left w:w="108" w:type="dxa"/>
              <w:right w:w="108" w:type="dxa"/>
            </w:tcMar>
            <w:vAlign w:val="center"/>
          </w:tcPr>
          <w:p w14:paraId="5882F27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按照国务院药品监督管理部门的规定，进行医疗器械临床评价时，已有临床文献资料、临床数据不足以确认产品安全、有效的医疗器械，应当开展临床试验。</w:t>
            </w:r>
          </w:p>
        </w:tc>
        <w:tc>
          <w:tcPr>
            <w:tcW w:w="5509" w:type="dxa"/>
            <w:shd w:val="clear" w:color="auto" w:fill="FFFFFF"/>
            <w:tcMar>
              <w:left w:w="108" w:type="dxa"/>
              <w:right w:w="108" w:type="dxa"/>
            </w:tcMar>
            <w:vAlign w:val="center"/>
          </w:tcPr>
          <w:p w14:paraId="27BE852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《医疗器械监督管理条例》第二十五条。</w:t>
            </w:r>
          </w:p>
        </w:tc>
      </w:tr>
      <w:tr w14:paraId="05DF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749" w:type="dxa"/>
            <w:vMerge w:val="continue"/>
            <w:shd w:val="clear" w:color="auto" w:fill="FFFFFF"/>
            <w:tcMar>
              <w:left w:w="108" w:type="dxa"/>
              <w:right w:w="108" w:type="dxa"/>
            </w:tcMar>
            <w:vAlign w:val="center"/>
          </w:tcPr>
          <w:p w14:paraId="28BA51E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178E545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8497" w:type="dxa"/>
            <w:shd w:val="clear" w:color="auto" w:fill="FFFFFF"/>
            <w:tcMar>
              <w:left w:w="108" w:type="dxa"/>
              <w:right w:w="108" w:type="dxa"/>
            </w:tcMar>
            <w:vAlign w:val="center"/>
          </w:tcPr>
          <w:p w14:paraId="7FC5F1C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开展医疗器械临床试验，应当按照医疗器械临床试验质量管理规范的要求，在具备相应条件的临床试验机构进行，并向临床试验申办者所在地省、自治区、直辖市人民政府药品监督管理部门备案。</w:t>
            </w:r>
          </w:p>
        </w:tc>
        <w:tc>
          <w:tcPr>
            <w:tcW w:w="5509" w:type="dxa"/>
            <w:shd w:val="clear" w:color="auto" w:fill="FFFFFF"/>
            <w:tcMar>
              <w:left w:w="108" w:type="dxa"/>
              <w:right w:w="108" w:type="dxa"/>
            </w:tcMar>
            <w:vAlign w:val="center"/>
          </w:tcPr>
          <w:p w14:paraId="0A05603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《医疗器械监督管理条例》第二十六条。</w:t>
            </w:r>
          </w:p>
        </w:tc>
      </w:tr>
      <w:tr w14:paraId="3639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749" w:type="dxa"/>
            <w:vMerge w:val="continue"/>
            <w:shd w:val="clear" w:color="auto" w:fill="FFFFFF"/>
            <w:tcMar>
              <w:left w:w="108" w:type="dxa"/>
              <w:right w:w="108" w:type="dxa"/>
            </w:tcMar>
            <w:vAlign w:val="center"/>
          </w:tcPr>
          <w:p w14:paraId="212548D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203EA85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9</w:t>
            </w:r>
          </w:p>
        </w:tc>
        <w:tc>
          <w:tcPr>
            <w:tcW w:w="8497" w:type="dxa"/>
            <w:shd w:val="clear" w:color="auto" w:fill="FFFFFF"/>
            <w:tcMar>
              <w:left w:w="108" w:type="dxa"/>
              <w:right w:w="108" w:type="dxa"/>
            </w:tcMar>
            <w:vAlign w:val="center"/>
          </w:tcPr>
          <w:p w14:paraId="608202B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第三类医疗器械临床试验对人体具有较高风险的，应当经国务院药品监督管理部门批准。</w:t>
            </w:r>
          </w:p>
        </w:tc>
        <w:tc>
          <w:tcPr>
            <w:tcW w:w="5509" w:type="dxa"/>
            <w:shd w:val="clear" w:color="auto" w:fill="FFFFFF"/>
            <w:tcMar>
              <w:left w:w="108" w:type="dxa"/>
              <w:right w:w="108" w:type="dxa"/>
            </w:tcMar>
            <w:vAlign w:val="center"/>
          </w:tcPr>
          <w:p w14:paraId="7991A28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《医疗器械监督管理条例》第二十七条。</w:t>
            </w:r>
          </w:p>
        </w:tc>
      </w:tr>
      <w:tr w14:paraId="5A47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9" w:hRule="atLeast"/>
          <w:jc w:val="center"/>
        </w:trPr>
        <w:tc>
          <w:tcPr>
            <w:tcW w:w="749" w:type="dxa"/>
            <w:vMerge w:val="continue"/>
            <w:shd w:val="clear" w:color="auto" w:fill="FFFFFF"/>
            <w:tcMar>
              <w:left w:w="108" w:type="dxa"/>
              <w:right w:w="108" w:type="dxa"/>
            </w:tcMar>
            <w:vAlign w:val="center"/>
          </w:tcPr>
          <w:p w14:paraId="239B1D6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54C2A88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8497" w:type="dxa"/>
            <w:shd w:val="clear" w:color="auto" w:fill="FFFFFF"/>
            <w:tcMar>
              <w:left w:w="108" w:type="dxa"/>
              <w:right w:w="108" w:type="dxa"/>
            </w:tcMar>
            <w:vAlign w:val="center"/>
          </w:tcPr>
          <w:p w14:paraId="6B023C5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开展医疗器械临床试验，应当按照规定进行伦理审查，向受试者告知试验目的、用途和可能产生的风险等详细情况，获得受试者的书面知情同意；受试者为无民事行为能力人或者限制民事行为能力人的，应当依法获得其监护人的书面知情同意。</w:t>
            </w:r>
          </w:p>
          <w:p w14:paraId="44B7F0F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开展临床试验，不得以任何形式向受试者收取与临床试验有关的费用。</w:t>
            </w:r>
          </w:p>
        </w:tc>
        <w:tc>
          <w:tcPr>
            <w:tcW w:w="5509" w:type="dxa"/>
            <w:shd w:val="clear" w:color="auto" w:fill="FFFFFF"/>
            <w:tcMar>
              <w:left w:w="108" w:type="dxa"/>
              <w:right w:w="108" w:type="dxa"/>
            </w:tcMar>
            <w:vAlign w:val="center"/>
          </w:tcPr>
          <w:p w14:paraId="2A58451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《医疗器械监督管理条例》第二十八条。</w:t>
            </w:r>
          </w:p>
        </w:tc>
      </w:tr>
      <w:tr w14:paraId="6191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749" w:type="dxa"/>
            <w:vMerge w:val="restart"/>
            <w:shd w:val="clear" w:color="auto" w:fill="FFFFFF"/>
            <w:tcMar>
              <w:left w:w="108" w:type="dxa"/>
              <w:right w:w="108" w:type="dxa"/>
            </w:tcMar>
            <w:vAlign w:val="center"/>
          </w:tcPr>
          <w:p w14:paraId="2BA6579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准入管理</w:t>
            </w:r>
          </w:p>
        </w:tc>
        <w:tc>
          <w:tcPr>
            <w:tcW w:w="742" w:type="dxa"/>
            <w:shd w:val="clear" w:color="auto" w:fill="FFFFFF"/>
            <w:tcMar>
              <w:left w:w="108" w:type="dxa"/>
              <w:right w:w="108" w:type="dxa"/>
            </w:tcMar>
            <w:vAlign w:val="center"/>
          </w:tcPr>
          <w:p w14:paraId="7529D77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11</w:t>
            </w:r>
          </w:p>
        </w:tc>
        <w:tc>
          <w:tcPr>
            <w:tcW w:w="8497" w:type="dxa"/>
            <w:shd w:val="clear" w:color="auto" w:fill="FFFFFF"/>
            <w:tcMar>
              <w:left w:w="108" w:type="dxa"/>
              <w:right w:w="108" w:type="dxa"/>
            </w:tcMar>
            <w:vAlign w:val="center"/>
          </w:tcPr>
          <w:p w14:paraId="655ED6A6">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办理医疗器械注册、备案事项的人员应当具有相应的专业知识，熟悉医疗器械注册、备案管理的法律、法规、规章和注册管理相关规定。</w:t>
            </w:r>
          </w:p>
        </w:tc>
        <w:tc>
          <w:tcPr>
            <w:tcW w:w="5509" w:type="dxa"/>
            <w:shd w:val="clear" w:color="auto" w:fill="FFFFFF"/>
            <w:tcMar>
              <w:left w:w="108" w:type="dxa"/>
              <w:right w:w="108" w:type="dxa"/>
            </w:tcMar>
            <w:vAlign w:val="center"/>
          </w:tcPr>
          <w:p w14:paraId="312AEA3D">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《医疗器械注册与备案管理办法》第十六条。</w:t>
            </w:r>
          </w:p>
        </w:tc>
      </w:tr>
      <w:tr w14:paraId="1E34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3" w:hRule="atLeast"/>
          <w:jc w:val="center"/>
        </w:trPr>
        <w:tc>
          <w:tcPr>
            <w:tcW w:w="749" w:type="dxa"/>
            <w:vMerge w:val="continue"/>
            <w:shd w:val="clear" w:color="auto" w:fill="FFFFFF"/>
            <w:tcMar>
              <w:left w:w="108" w:type="dxa"/>
              <w:right w:w="108" w:type="dxa"/>
            </w:tcMar>
            <w:vAlign w:val="center"/>
          </w:tcPr>
          <w:p w14:paraId="4BE5D77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1939B49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12</w:t>
            </w:r>
          </w:p>
        </w:tc>
        <w:tc>
          <w:tcPr>
            <w:tcW w:w="8497" w:type="dxa"/>
            <w:shd w:val="clear" w:color="auto" w:fill="FFFFFF"/>
            <w:tcMar>
              <w:left w:w="108" w:type="dxa"/>
              <w:right w:w="108" w:type="dxa"/>
            </w:tcMar>
            <w:vAlign w:val="center"/>
          </w:tcPr>
          <w:p w14:paraId="1E810052">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第一类医疗器械产品备案和申请第二类、第三类医疗器械产品注册，应当提交下列资料：</w:t>
            </w:r>
          </w:p>
          <w:p w14:paraId="1E9533A3">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（一）产品风险分析资料；</w:t>
            </w:r>
          </w:p>
          <w:p w14:paraId="6DA22C72">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（二）产品技术要求；</w:t>
            </w:r>
          </w:p>
          <w:p w14:paraId="6C643338">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（三）产品检验报告；</w:t>
            </w:r>
          </w:p>
          <w:p w14:paraId="18B97B88">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（四）临床评价资料；</w:t>
            </w:r>
          </w:p>
          <w:p w14:paraId="557C6DD6">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（五）产品说明书以及标签样稿；</w:t>
            </w:r>
          </w:p>
          <w:p w14:paraId="76451622">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（六）与产品研制、生产有关的质量管理体系文件；</w:t>
            </w:r>
          </w:p>
          <w:p w14:paraId="057FBDA9">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（七）证明产品安全、有效所需的其他资料。</w:t>
            </w:r>
          </w:p>
          <w:p w14:paraId="588FD188">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医疗器械注册申请人、备案人应当确保提交的第一类医疗器械产品备案和申请第二类、第三类医疗器械产品注册资料合法、真实、准确、完整和可追溯。</w:t>
            </w:r>
          </w:p>
        </w:tc>
        <w:tc>
          <w:tcPr>
            <w:tcW w:w="5509" w:type="dxa"/>
            <w:shd w:val="clear" w:color="auto" w:fill="FFFFFF"/>
            <w:tcMar>
              <w:left w:w="108" w:type="dxa"/>
              <w:right w:w="108" w:type="dxa"/>
            </w:tcMar>
            <w:vAlign w:val="center"/>
          </w:tcPr>
          <w:p w14:paraId="064C02AF">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《医疗器械监督管理条例》第十四条。</w:t>
            </w:r>
          </w:p>
        </w:tc>
      </w:tr>
      <w:tr w14:paraId="51B5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749" w:type="dxa"/>
            <w:vMerge w:val="continue"/>
            <w:shd w:val="clear" w:color="auto" w:fill="FFFFFF"/>
            <w:tcMar>
              <w:left w:w="108" w:type="dxa"/>
              <w:right w:w="108" w:type="dxa"/>
            </w:tcMar>
            <w:vAlign w:val="center"/>
          </w:tcPr>
          <w:p w14:paraId="1F5EE8A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105E1DC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13</w:t>
            </w:r>
          </w:p>
        </w:tc>
        <w:tc>
          <w:tcPr>
            <w:tcW w:w="8497" w:type="dxa"/>
            <w:shd w:val="clear" w:color="auto" w:fill="FFFFFF"/>
            <w:tcMar>
              <w:left w:w="108" w:type="dxa"/>
              <w:right w:w="108" w:type="dxa"/>
            </w:tcMar>
            <w:vAlign w:val="center"/>
          </w:tcPr>
          <w:p w14:paraId="41DD58F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备案资料载明的事项发生变化的，应当向原备案部门变更备案。</w:t>
            </w:r>
          </w:p>
        </w:tc>
        <w:tc>
          <w:tcPr>
            <w:tcW w:w="5509" w:type="dxa"/>
            <w:shd w:val="clear" w:color="auto" w:fill="FFFFFF"/>
            <w:tcMar>
              <w:left w:w="108" w:type="dxa"/>
              <w:right w:w="108" w:type="dxa"/>
            </w:tcMar>
            <w:vAlign w:val="center"/>
          </w:tcPr>
          <w:p w14:paraId="21353BAC">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《医疗器械监督管理条例》第十五条。</w:t>
            </w:r>
          </w:p>
        </w:tc>
      </w:tr>
      <w:tr w14:paraId="06C7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1" w:hRule="atLeast"/>
          <w:jc w:val="center"/>
        </w:trPr>
        <w:tc>
          <w:tcPr>
            <w:tcW w:w="749" w:type="dxa"/>
            <w:vMerge w:val="continue"/>
            <w:shd w:val="clear" w:color="auto" w:fill="FFFFFF"/>
            <w:tcMar>
              <w:left w:w="108" w:type="dxa"/>
              <w:right w:w="108" w:type="dxa"/>
            </w:tcMar>
            <w:vAlign w:val="center"/>
          </w:tcPr>
          <w:p w14:paraId="7B69BEA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1578927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14</w:t>
            </w:r>
          </w:p>
        </w:tc>
        <w:tc>
          <w:tcPr>
            <w:tcW w:w="8497" w:type="dxa"/>
            <w:shd w:val="clear" w:color="auto" w:fill="FFFFFF"/>
            <w:tcMar>
              <w:left w:w="108" w:type="dxa"/>
              <w:right w:w="108" w:type="dxa"/>
            </w:tcMar>
            <w:vAlign w:val="center"/>
          </w:tcPr>
          <w:p w14:paraId="6DEA68DB">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pacing w:val="-2"/>
                <w:sz w:val="18"/>
                <w:szCs w:val="18"/>
              </w:rPr>
            </w:pPr>
            <w:r>
              <w:rPr>
                <w:rFonts w:hint="eastAsia" w:ascii="方正仿宋_GBK" w:hAnsi="方正仿宋_GBK" w:eastAsia="方正仿宋_GBK" w:cs="方正仿宋_GBK"/>
                <w:spacing w:val="-2"/>
                <w:sz w:val="18"/>
                <w:szCs w:val="18"/>
              </w:rPr>
              <w:t>已注册的第二类、第三类医疗器械产品，其设计、原材料、生产工艺、适用范围、使用方法等发生实质性变化，有可能影响该医疗器械安全、有效的，注册人应当向原注册部门申请办理变更注册手续；发生其他变化的，应当按照国务院药品监督管理部门的规定备案或者报告。</w:t>
            </w:r>
          </w:p>
        </w:tc>
        <w:tc>
          <w:tcPr>
            <w:tcW w:w="5509" w:type="dxa"/>
            <w:shd w:val="clear" w:color="auto" w:fill="FFFFFF"/>
            <w:tcMar>
              <w:left w:w="108" w:type="dxa"/>
              <w:right w:w="108" w:type="dxa"/>
            </w:tcMar>
            <w:vAlign w:val="center"/>
          </w:tcPr>
          <w:p w14:paraId="6DA8A559">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《医疗器械监督管理条例》第二十一条。</w:t>
            </w:r>
          </w:p>
        </w:tc>
      </w:tr>
      <w:tr w14:paraId="3B23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49" w:type="dxa"/>
            <w:vMerge w:val="continue"/>
            <w:shd w:val="clear" w:color="auto" w:fill="FFFFFF"/>
            <w:tcMar>
              <w:left w:w="108" w:type="dxa"/>
              <w:right w:w="108" w:type="dxa"/>
            </w:tcMar>
            <w:vAlign w:val="center"/>
          </w:tcPr>
          <w:p w14:paraId="75182C3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18ACD36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15</w:t>
            </w:r>
          </w:p>
        </w:tc>
        <w:tc>
          <w:tcPr>
            <w:tcW w:w="8497" w:type="dxa"/>
            <w:shd w:val="clear" w:color="auto" w:fill="FFFFFF"/>
            <w:tcMar>
              <w:left w:w="108" w:type="dxa"/>
              <w:right w:w="108" w:type="dxa"/>
            </w:tcMar>
            <w:vAlign w:val="center"/>
          </w:tcPr>
          <w:p w14:paraId="2A06A600">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医疗器械注册证有效期为5年。有效期届满需要延续注册的，应当在有效期届满6个月前向原注册部门提出延续注册的申请。</w:t>
            </w:r>
          </w:p>
        </w:tc>
        <w:tc>
          <w:tcPr>
            <w:tcW w:w="5509" w:type="dxa"/>
            <w:shd w:val="clear" w:color="auto" w:fill="FFFFFF"/>
            <w:tcMar>
              <w:left w:w="108" w:type="dxa"/>
              <w:right w:w="108" w:type="dxa"/>
            </w:tcMar>
            <w:vAlign w:val="center"/>
          </w:tcPr>
          <w:p w14:paraId="3BBFBF17">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《医疗器械监督管理条例》第二十二条</w:t>
            </w:r>
            <w:r>
              <w:rPr>
                <w:rFonts w:hint="eastAsia" w:ascii="方正仿宋_GBK" w:hAnsi="方正仿宋_GBK" w:eastAsia="方正仿宋_GBK" w:cs="方正仿宋_GBK"/>
                <w:sz w:val="18"/>
                <w:szCs w:val="18"/>
                <w:lang w:eastAsia="zh-CN"/>
              </w:rPr>
              <w:t>。</w:t>
            </w:r>
          </w:p>
        </w:tc>
      </w:tr>
      <w:tr w14:paraId="4472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5" w:hRule="atLeast"/>
          <w:jc w:val="center"/>
        </w:trPr>
        <w:tc>
          <w:tcPr>
            <w:tcW w:w="749" w:type="dxa"/>
            <w:vMerge w:val="restart"/>
            <w:shd w:val="clear" w:color="auto" w:fill="FFFFFF"/>
            <w:tcMar>
              <w:left w:w="108" w:type="dxa"/>
              <w:right w:w="108" w:type="dxa"/>
            </w:tcMar>
            <w:vAlign w:val="center"/>
          </w:tcPr>
          <w:p w14:paraId="78A7BCB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准入管理</w:t>
            </w:r>
          </w:p>
        </w:tc>
        <w:tc>
          <w:tcPr>
            <w:tcW w:w="742" w:type="dxa"/>
            <w:shd w:val="clear" w:color="auto" w:fill="FFFFFF"/>
            <w:tcMar>
              <w:left w:w="108" w:type="dxa"/>
              <w:right w:w="108" w:type="dxa"/>
            </w:tcMar>
            <w:vAlign w:val="center"/>
          </w:tcPr>
          <w:p w14:paraId="771BBF9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16</w:t>
            </w:r>
          </w:p>
        </w:tc>
        <w:tc>
          <w:tcPr>
            <w:tcW w:w="8497" w:type="dxa"/>
            <w:shd w:val="clear" w:color="auto" w:fill="FFFFFF"/>
            <w:tcMar>
              <w:left w:w="108" w:type="dxa"/>
              <w:right w:w="108" w:type="dxa"/>
            </w:tcMar>
            <w:vAlign w:val="center"/>
          </w:tcPr>
          <w:p w14:paraId="033109D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从事医疗器械生产活动，应当具备下列条件：</w:t>
            </w:r>
          </w:p>
          <w:p w14:paraId="20C8B08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（一）有与生产的医疗器械相适应的生产场地、环境条件、生产设备以及专业技术人员；</w:t>
            </w:r>
          </w:p>
          <w:p w14:paraId="35A3C5A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（二）有能对生产的医疗器械进行质量检验的机构或者专职检验人员以及检验设备；</w:t>
            </w:r>
          </w:p>
          <w:p w14:paraId="2904E1F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（三）有保证医疗器械质量的管理制度；</w:t>
            </w:r>
          </w:p>
          <w:p w14:paraId="5762B59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（四）有与生产的医疗器械相适应的售后服务能力；</w:t>
            </w:r>
          </w:p>
          <w:p w14:paraId="7BA720C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（五）符合产品研制、生产工艺文件规定的要求。</w:t>
            </w:r>
          </w:p>
        </w:tc>
        <w:tc>
          <w:tcPr>
            <w:tcW w:w="5509" w:type="dxa"/>
            <w:shd w:val="clear" w:color="auto" w:fill="FFFFFF"/>
            <w:tcMar>
              <w:left w:w="108" w:type="dxa"/>
              <w:right w:w="108" w:type="dxa"/>
            </w:tcMar>
            <w:vAlign w:val="center"/>
          </w:tcPr>
          <w:p w14:paraId="0A590A3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《医疗器械监督管理条例》第三十条。</w:t>
            </w:r>
          </w:p>
        </w:tc>
      </w:tr>
      <w:tr w14:paraId="2CAD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jc w:val="center"/>
        </w:trPr>
        <w:tc>
          <w:tcPr>
            <w:tcW w:w="749" w:type="dxa"/>
            <w:vMerge w:val="continue"/>
            <w:shd w:val="clear" w:color="auto" w:fill="FFFFFF"/>
            <w:tcMar>
              <w:left w:w="108" w:type="dxa"/>
              <w:right w:w="108" w:type="dxa"/>
            </w:tcMar>
            <w:vAlign w:val="center"/>
          </w:tcPr>
          <w:p w14:paraId="296C58A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56494CC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17</w:t>
            </w:r>
          </w:p>
        </w:tc>
        <w:tc>
          <w:tcPr>
            <w:tcW w:w="8497" w:type="dxa"/>
            <w:shd w:val="clear" w:color="auto" w:fill="FFFFFF"/>
            <w:tcMar>
              <w:left w:w="108" w:type="dxa"/>
              <w:right w:w="108" w:type="dxa"/>
            </w:tcMar>
            <w:vAlign w:val="center"/>
          </w:tcPr>
          <w:p w14:paraId="164C8CF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从事第一类医疗器械生产的，应当向所在地设区的市级人民政府负责药品监督管理的部门备案，在提交符合本条例第三十条规定条件的有关资料后即完成备案。</w:t>
            </w:r>
          </w:p>
        </w:tc>
        <w:tc>
          <w:tcPr>
            <w:tcW w:w="5509" w:type="dxa"/>
            <w:shd w:val="clear" w:color="auto" w:fill="FFFFFF"/>
            <w:tcMar>
              <w:left w:w="108" w:type="dxa"/>
              <w:right w:w="108" w:type="dxa"/>
            </w:tcMar>
            <w:vAlign w:val="center"/>
          </w:tcPr>
          <w:p w14:paraId="16AABF9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《医疗器械监督管理条例》第三十一条。</w:t>
            </w:r>
          </w:p>
        </w:tc>
      </w:tr>
      <w:tr w14:paraId="763E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7" w:hRule="atLeast"/>
          <w:jc w:val="center"/>
        </w:trPr>
        <w:tc>
          <w:tcPr>
            <w:tcW w:w="749" w:type="dxa"/>
            <w:vMerge w:val="continue"/>
            <w:shd w:val="clear" w:color="auto" w:fill="FFFFFF"/>
            <w:tcMar>
              <w:left w:w="108" w:type="dxa"/>
              <w:right w:w="108" w:type="dxa"/>
            </w:tcMar>
            <w:vAlign w:val="center"/>
          </w:tcPr>
          <w:p w14:paraId="3184B12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6C23B5A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18</w:t>
            </w:r>
          </w:p>
        </w:tc>
        <w:tc>
          <w:tcPr>
            <w:tcW w:w="8497" w:type="dxa"/>
            <w:shd w:val="clear" w:color="auto" w:fill="FFFFFF"/>
            <w:tcMar>
              <w:left w:w="108" w:type="dxa"/>
              <w:right w:w="108" w:type="dxa"/>
            </w:tcMar>
            <w:vAlign w:val="center"/>
          </w:tcPr>
          <w:p w14:paraId="243DCB6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从事第二类、第三类医疗器械生产的，应当向所在地省、自治区、直辖市人民政府药品监督管理部门申请生产许可并提交其符合本条例第三十条规定条件的有关资料以及所生产医疗器械的注册证。</w:t>
            </w:r>
          </w:p>
        </w:tc>
        <w:tc>
          <w:tcPr>
            <w:tcW w:w="5509" w:type="dxa"/>
            <w:shd w:val="clear" w:color="auto" w:fill="FFFFFF"/>
            <w:tcMar>
              <w:left w:w="108" w:type="dxa"/>
              <w:right w:w="108" w:type="dxa"/>
            </w:tcMar>
            <w:vAlign w:val="center"/>
          </w:tcPr>
          <w:p w14:paraId="52720BF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《医疗器械监督管理条例》第三十二条。</w:t>
            </w:r>
          </w:p>
        </w:tc>
      </w:tr>
      <w:tr w14:paraId="068B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749" w:type="dxa"/>
            <w:vMerge w:val="continue"/>
            <w:shd w:val="clear" w:color="auto" w:fill="FFFFFF"/>
            <w:tcMar>
              <w:left w:w="108" w:type="dxa"/>
              <w:right w:w="108" w:type="dxa"/>
            </w:tcMar>
            <w:vAlign w:val="center"/>
          </w:tcPr>
          <w:p w14:paraId="0D57B09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01D960B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19</w:t>
            </w:r>
          </w:p>
        </w:tc>
        <w:tc>
          <w:tcPr>
            <w:tcW w:w="8497" w:type="dxa"/>
            <w:shd w:val="clear" w:color="auto" w:fill="FFFFFF"/>
            <w:tcMar>
              <w:left w:w="108" w:type="dxa"/>
              <w:right w:w="108" w:type="dxa"/>
            </w:tcMar>
            <w:vAlign w:val="center"/>
          </w:tcPr>
          <w:p w14:paraId="13D93592">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生产地址变更或者生产范围增加的，应当向原发证部门申请医疗器械生产许可变更，并提交本办法第十条规定中涉及变更内容的有关材料，原发证部门应当依照本办法第十三条的规定进行审核并开展现场核查。</w:t>
            </w:r>
          </w:p>
          <w:p w14:paraId="4C8A2178">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车间或者生产线进行改造，导致生产条件发生变化，可能影响医疗器械安全、有效的，应当向原发证部门报告。属于许可事项变化的，应当按照规定办理相关许可变更手续。</w:t>
            </w:r>
          </w:p>
        </w:tc>
        <w:tc>
          <w:tcPr>
            <w:tcW w:w="5509" w:type="dxa"/>
            <w:shd w:val="clear" w:color="auto" w:fill="FFFFFF"/>
            <w:tcMar>
              <w:left w:w="108" w:type="dxa"/>
              <w:right w:w="108" w:type="dxa"/>
            </w:tcMar>
            <w:vAlign w:val="center"/>
          </w:tcPr>
          <w:p w14:paraId="02394B37">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《医疗器械生产监督管理办法》第十五条。</w:t>
            </w:r>
          </w:p>
        </w:tc>
      </w:tr>
      <w:tr w14:paraId="00FB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749" w:type="dxa"/>
            <w:vMerge w:val="continue"/>
            <w:shd w:val="clear" w:color="auto" w:fill="FFFFFF"/>
            <w:tcMar>
              <w:left w:w="108" w:type="dxa"/>
              <w:right w:w="108" w:type="dxa"/>
            </w:tcMar>
            <w:vAlign w:val="center"/>
          </w:tcPr>
          <w:p w14:paraId="1D27636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333DB9E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20</w:t>
            </w:r>
          </w:p>
        </w:tc>
        <w:tc>
          <w:tcPr>
            <w:tcW w:w="8497" w:type="dxa"/>
            <w:shd w:val="clear" w:color="auto" w:fill="FFFFFF"/>
            <w:tcMar>
              <w:left w:w="108" w:type="dxa"/>
              <w:right w:w="108" w:type="dxa"/>
            </w:tcMar>
            <w:vAlign w:val="center"/>
          </w:tcPr>
          <w:p w14:paraId="22AA22B1">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企业名称、法定代表人（企业负责人）、住所变更或者生产地址文字性变更，以及生产范围核减的，应当在变更后30个工作日内，向原发证部门申请登记事项变更，并提交相关材料。</w:t>
            </w:r>
          </w:p>
        </w:tc>
        <w:tc>
          <w:tcPr>
            <w:tcW w:w="5509" w:type="dxa"/>
            <w:shd w:val="clear" w:color="auto" w:fill="FFFFFF"/>
            <w:tcMar>
              <w:left w:w="108" w:type="dxa"/>
              <w:right w:w="108" w:type="dxa"/>
            </w:tcMar>
            <w:vAlign w:val="center"/>
          </w:tcPr>
          <w:p w14:paraId="0562A3EA">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《医疗器械生产监督管理办法》第十六条。</w:t>
            </w:r>
          </w:p>
        </w:tc>
      </w:tr>
      <w:tr w14:paraId="7EF9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749" w:type="dxa"/>
            <w:vMerge w:val="restart"/>
            <w:shd w:val="clear" w:color="auto" w:fill="FFFFFF"/>
            <w:tcMar>
              <w:left w:w="108" w:type="dxa"/>
              <w:right w:w="108" w:type="dxa"/>
            </w:tcMar>
            <w:vAlign w:val="center"/>
          </w:tcPr>
          <w:p w14:paraId="0CEF6CC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准入管理</w:t>
            </w:r>
          </w:p>
        </w:tc>
        <w:tc>
          <w:tcPr>
            <w:tcW w:w="742" w:type="dxa"/>
            <w:shd w:val="clear" w:color="auto" w:fill="FFFFFF"/>
            <w:tcMar>
              <w:left w:w="108" w:type="dxa"/>
              <w:right w:w="108" w:type="dxa"/>
            </w:tcMar>
            <w:vAlign w:val="center"/>
          </w:tcPr>
          <w:p w14:paraId="14C9D09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21</w:t>
            </w:r>
          </w:p>
        </w:tc>
        <w:tc>
          <w:tcPr>
            <w:tcW w:w="8497" w:type="dxa"/>
            <w:shd w:val="clear" w:color="auto" w:fill="FFFFFF"/>
            <w:tcMar>
              <w:left w:w="108" w:type="dxa"/>
              <w:right w:w="108" w:type="dxa"/>
            </w:tcMar>
            <w:vAlign w:val="center"/>
          </w:tcPr>
          <w:p w14:paraId="33A5C3C1">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医疗器械生产许可证有效期届满延续的，应当在有效期届满前90个工作日至30个工作日期间提出延续申请。逾期未提出延续申请的，不再受理其延续申请。</w:t>
            </w:r>
          </w:p>
        </w:tc>
        <w:tc>
          <w:tcPr>
            <w:tcW w:w="5509" w:type="dxa"/>
            <w:shd w:val="clear" w:color="auto" w:fill="FFFFFF"/>
            <w:tcMar>
              <w:left w:w="108" w:type="dxa"/>
              <w:right w:w="108" w:type="dxa"/>
            </w:tcMar>
            <w:vAlign w:val="center"/>
          </w:tcPr>
          <w:p w14:paraId="118153B0">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《医疗器械生产监督管理办法》第十七条第一款。</w:t>
            </w:r>
          </w:p>
        </w:tc>
      </w:tr>
      <w:tr w14:paraId="1008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49" w:type="dxa"/>
            <w:vMerge w:val="continue"/>
            <w:shd w:val="clear" w:color="auto" w:fill="FFFFFF"/>
            <w:tcMar>
              <w:left w:w="108" w:type="dxa"/>
              <w:right w:w="108" w:type="dxa"/>
            </w:tcMar>
            <w:vAlign w:val="center"/>
          </w:tcPr>
          <w:p w14:paraId="1CB0C79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3014685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22</w:t>
            </w:r>
          </w:p>
        </w:tc>
        <w:tc>
          <w:tcPr>
            <w:tcW w:w="8497" w:type="dxa"/>
            <w:shd w:val="clear" w:color="auto" w:fill="FFFFFF"/>
            <w:tcMar>
              <w:left w:w="108" w:type="dxa"/>
              <w:right w:w="108" w:type="dxa"/>
            </w:tcMar>
            <w:vAlign w:val="center"/>
          </w:tcPr>
          <w:p w14:paraId="5C4882CA">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医疗器械生产企业跨省、自治区、直辖市设立生产场地的，应当向新设生产场地所在地省、自治区、直辖市药品监督管理部门申请医疗器械生产许可。</w:t>
            </w:r>
          </w:p>
        </w:tc>
        <w:tc>
          <w:tcPr>
            <w:tcW w:w="5509" w:type="dxa"/>
            <w:shd w:val="clear" w:color="auto" w:fill="FFFFFF"/>
            <w:tcMar>
              <w:left w:w="108" w:type="dxa"/>
              <w:right w:w="108" w:type="dxa"/>
            </w:tcMar>
            <w:vAlign w:val="center"/>
          </w:tcPr>
          <w:p w14:paraId="472CD610">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《医疗器械生产监督管理办法》第十八条。</w:t>
            </w:r>
          </w:p>
        </w:tc>
      </w:tr>
      <w:tr w14:paraId="72DA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749" w:type="dxa"/>
            <w:vMerge w:val="continue"/>
            <w:shd w:val="clear" w:color="auto" w:fill="FFFFFF"/>
            <w:tcMar>
              <w:left w:w="108" w:type="dxa"/>
              <w:right w:w="108" w:type="dxa"/>
            </w:tcMar>
            <w:vAlign w:val="center"/>
          </w:tcPr>
          <w:p w14:paraId="52BF9C1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496B0FF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23</w:t>
            </w:r>
          </w:p>
        </w:tc>
        <w:tc>
          <w:tcPr>
            <w:tcW w:w="8497" w:type="dxa"/>
            <w:shd w:val="clear" w:color="auto" w:fill="FFFFFF"/>
            <w:tcMar>
              <w:left w:w="108" w:type="dxa"/>
              <w:right w:w="108" w:type="dxa"/>
            </w:tcMar>
            <w:vAlign w:val="center"/>
          </w:tcPr>
          <w:p w14:paraId="1944F4C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医疗器械生产许可证遗失的，应当向原发证部门申请补发。</w:t>
            </w:r>
          </w:p>
        </w:tc>
        <w:tc>
          <w:tcPr>
            <w:tcW w:w="5509" w:type="dxa"/>
            <w:shd w:val="clear" w:color="auto" w:fill="FFFFFF"/>
            <w:tcMar>
              <w:left w:w="108" w:type="dxa"/>
              <w:right w:w="108" w:type="dxa"/>
            </w:tcMar>
            <w:vAlign w:val="center"/>
          </w:tcPr>
          <w:p w14:paraId="24D3352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《医疗器械生产监督管理办法》第十九条。</w:t>
            </w:r>
          </w:p>
        </w:tc>
      </w:tr>
      <w:tr w14:paraId="5CBA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3" w:hRule="atLeast"/>
          <w:jc w:val="center"/>
        </w:trPr>
        <w:tc>
          <w:tcPr>
            <w:tcW w:w="749" w:type="dxa"/>
            <w:vMerge w:val="restart"/>
            <w:shd w:val="clear" w:color="auto" w:fill="FFFFFF"/>
            <w:tcMar>
              <w:left w:w="108" w:type="dxa"/>
              <w:right w:w="108" w:type="dxa"/>
            </w:tcMar>
            <w:vAlign w:val="center"/>
          </w:tcPr>
          <w:p w14:paraId="7AB7C36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生产管理</w:t>
            </w:r>
          </w:p>
        </w:tc>
        <w:tc>
          <w:tcPr>
            <w:tcW w:w="742" w:type="dxa"/>
            <w:shd w:val="clear" w:color="auto" w:fill="FFFFFF"/>
            <w:tcMar>
              <w:left w:w="108" w:type="dxa"/>
              <w:right w:w="108" w:type="dxa"/>
            </w:tcMar>
            <w:vAlign w:val="center"/>
          </w:tcPr>
          <w:p w14:paraId="0EA181F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24</w:t>
            </w:r>
          </w:p>
        </w:tc>
        <w:tc>
          <w:tcPr>
            <w:tcW w:w="8497" w:type="dxa"/>
            <w:shd w:val="clear" w:color="auto" w:fill="FFFFFF"/>
            <w:tcMar>
              <w:left w:w="108" w:type="dxa"/>
              <w:right w:w="108" w:type="dxa"/>
            </w:tcMar>
            <w:vAlign w:val="center"/>
          </w:tcPr>
          <w:p w14:paraId="0B05FEA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委托生产医疗器械的，医疗器械注册人、备案人应当对所委托生产的医疗器械质量负责，并加强对受托生产企业生产行为的管理，保证其按照法定要求进行生产。医疗器械注册人、备案人应当与受托生产企业签订委托协议，明确双方权利、义务和责任。受托生产企业应当依照法律法规、医疗器械生产质量管理规范、强制性标准、产品技术要求和委托协议组织生产，对生产行为负责，并接受委托方的监督。</w:t>
            </w:r>
          </w:p>
          <w:p w14:paraId="52F7DF5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具有高风险的植入性医疗器械不得委托生产，具体目录由国务院药品监督管理部门制定、调整并公布。</w:t>
            </w:r>
          </w:p>
        </w:tc>
        <w:tc>
          <w:tcPr>
            <w:tcW w:w="5509" w:type="dxa"/>
            <w:shd w:val="clear" w:color="auto" w:fill="FFFFFF"/>
            <w:tcMar>
              <w:left w:w="108" w:type="dxa"/>
              <w:right w:w="108" w:type="dxa"/>
            </w:tcMar>
            <w:vAlign w:val="center"/>
          </w:tcPr>
          <w:p w14:paraId="53FE3BE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《医疗器械监督管理条例》第三十四条。</w:t>
            </w:r>
          </w:p>
        </w:tc>
      </w:tr>
      <w:tr w14:paraId="60F9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jc w:val="center"/>
        </w:trPr>
        <w:tc>
          <w:tcPr>
            <w:tcW w:w="749" w:type="dxa"/>
            <w:vMerge w:val="continue"/>
            <w:shd w:val="clear" w:color="auto" w:fill="FFFFFF"/>
            <w:tcMar>
              <w:left w:w="108" w:type="dxa"/>
              <w:right w:w="108" w:type="dxa"/>
            </w:tcMar>
            <w:vAlign w:val="center"/>
          </w:tcPr>
          <w:p w14:paraId="65A7322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5FBC5B5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25</w:t>
            </w:r>
          </w:p>
        </w:tc>
        <w:tc>
          <w:tcPr>
            <w:tcW w:w="8497" w:type="dxa"/>
            <w:shd w:val="clear" w:color="auto" w:fill="FFFFFF"/>
            <w:tcMar>
              <w:left w:w="108" w:type="dxa"/>
              <w:right w:w="108" w:type="dxa"/>
            </w:tcMar>
            <w:vAlign w:val="center"/>
          </w:tcPr>
          <w:p w14:paraId="0DA96A1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tc>
        <w:tc>
          <w:tcPr>
            <w:tcW w:w="5509" w:type="dxa"/>
            <w:shd w:val="clear" w:color="auto" w:fill="FFFFFF"/>
            <w:tcMar>
              <w:left w:w="108" w:type="dxa"/>
              <w:right w:w="108" w:type="dxa"/>
            </w:tcMar>
            <w:vAlign w:val="center"/>
          </w:tcPr>
          <w:p w14:paraId="04438D5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《医疗器械监督管理条例》第三十五条。</w:t>
            </w:r>
          </w:p>
        </w:tc>
      </w:tr>
      <w:tr w14:paraId="522E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atLeast"/>
          <w:jc w:val="center"/>
        </w:trPr>
        <w:tc>
          <w:tcPr>
            <w:tcW w:w="749" w:type="dxa"/>
            <w:vMerge w:val="continue"/>
            <w:shd w:val="clear" w:color="auto" w:fill="FFFFFF"/>
            <w:tcMar>
              <w:left w:w="108" w:type="dxa"/>
              <w:right w:w="108" w:type="dxa"/>
            </w:tcMar>
            <w:vAlign w:val="center"/>
          </w:tcPr>
          <w:p w14:paraId="5804773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09A7E14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26</w:t>
            </w:r>
          </w:p>
        </w:tc>
        <w:tc>
          <w:tcPr>
            <w:tcW w:w="8497" w:type="dxa"/>
            <w:shd w:val="clear" w:color="auto" w:fill="FFFFFF"/>
            <w:tcMar>
              <w:left w:w="108" w:type="dxa"/>
              <w:right w:w="108" w:type="dxa"/>
            </w:tcMar>
            <w:vAlign w:val="center"/>
          </w:tcPr>
          <w:p w14:paraId="5B692A1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医疗器械注册人、备案人、受托生产企业应当配备管理者代表。管理者代表受法定代表人或者主要负责人委派，履行建立、实施并保持质量管理体系有效运行等责任。</w:t>
            </w:r>
          </w:p>
        </w:tc>
        <w:tc>
          <w:tcPr>
            <w:tcW w:w="5509" w:type="dxa"/>
            <w:shd w:val="clear" w:color="auto" w:fill="FFFFFF"/>
            <w:tcMar>
              <w:left w:w="108" w:type="dxa"/>
              <w:right w:w="108" w:type="dxa"/>
            </w:tcMar>
            <w:vAlign w:val="center"/>
          </w:tcPr>
          <w:p w14:paraId="263C0C7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《医疗器械生产监督管理办法》第二十七条。</w:t>
            </w:r>
          </w:p>
        </w:tc>
      </w:tr>
      <w:tr w14:paraId="1F5A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749" w:type="dxa"/>
            <w:vMerge w:val="restart"/>
            <w:shd w:val="clear" w:color="auto" w:fill="FFFFFF"/>
            <w:tcMar>
              <w:left w:w="108" w:type="dxa"/>
              <w:right w:w="108" w:type="dxa"/>
            </w:tcMar>
            <w:vAlign w:val="center"/>
          </w:tcPr>
          <w:p w14:paraId="233C711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生产管理</w:t>
            </w:r>
          </w:p>
        </w:tc>
        <w:tc>
          <w:tcPr>
            <w:tcW w:w="742" w:type="dxa"/>
            <w:shd w:val="clear" w:color="auto" w:fill="FFFFFF"/>
            <w:tcMar>
              <w:left w:w="108" w:type="dxa"/>
              <w:right w:w="108" w:type="dxa"/>
            </w:tcMar>
            <w:vAlign w:val="center"/>
          </w:tcPr>
          <w:p w14:paraId="25E0E5B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27</w:t>
            </w:r>
          </w:p>
        </w:tc>
        <w:tc>
          <w:tcPr>
            <w:tcW w:w="8497" w:type="dxa"/>
            <w:shd w:val="clear" w:color="auto" w:fill="FFFFFF"/>
            <w:tcMar>
              <w:left w:w="108" w:type="dxa"/>
              <w:right w:w="108" w:type="dxa"/>
            </w:tcMar>
            <w:vAlign w:val="center"/>
          </w:tcPr>
          <w:p w14:paraId="28C20A26">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医疗器械注册人、备案人、受托生产企业应当开展医疗器械法律、法规、规章、标准以及质量管理等方面的培训，建立培训制度，制定培训计划，加强考核并做好培训记录。</w:t>
            </w:r>
          </w:p>
        </w:tc>
        <w:tc>
          <w:tcPr>
            <w:tcW w:w="5509" w:type="dxa"/>
            <w:shd w:val="clear" w:color="auto" w:fill="FFFFFF"/>
            <w:tcMar>
              <w:left w:w="108" w:type="dxa"/>
              <w:right w:w="108" w:type="dxa"/>
            </w:tcMar>
            <w:vAlign w:val="center"/>
          </w:tcPr>
          <w:p w14:paraId="224EC95B">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《医疗器械生产监督管理办法》第二十八条。</w:t>
            </w:r>
          </w:p>
        </w:tc>
      </w:tr>
      <w:tr w14:paraId="0BFD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749" w:type="dxa"/>
            <w:vMerge w:val="continue"/>
            <w:shd w:val="clear" w:color="auto" w:fill="FFFFFF"/>
            <w:tcMar>
              <w:left w:w="108" w:type="dxa"/>
              <w:right w:w="108" w:type="dxa"/>
            </w:tcMar>
            <w:vAlign w:val="center"/>
          </w:tcPr>
          <w:p w14:paraId="551F7E7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20F7BF4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28</w:t>
            </w:r>
          </w:p>
        </w:tc>
        <w:tc>
          <w:tcPr>
            <w:tcW w:w="8497" w:type="dxa"/>
            <w:shd w:val="clear" w:color="auto" w:fill="FFFFFF"/>
            <w:tcMar>
              <w:left w:w="108" w:type="dxa"/>
              <w:right w:w="108" w:type="dxa"/>
            </w:tcMar>
            <w:vAlign w:val="center"/>
          </w:tcPr>
          <w:p w14:paraId="5EB25CFF">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医疗器械注册人、备案人、受托生产企业应当按照所生产产品的特性、工艺流程以及生产环境要求合理配备、使用设施设备，加强对设施设备的管理，并保持其有效运行。</w:t>
            </w:r>
          </w:p>
        </w:tc>
        <w:tc>
          <w:tcPr>
            <w:tcW w:w="5509" w:type="dxa"/>
            <w:shd w:val="clear" w:color="auto" w:fill="FFFFFF"/>
            <w:tcMar>
              <w:left w:w="108" w:type="dxa"/>
              <w:right w:w="108" w:type="dxa"/>
            </w:tcMar>
            <w:vAlign w:val="center"/>
          </w:tcPr>
          <w:p w14:paraId="56862619">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《医疗器械生产监督管理办法》第二十九条。</w:t>
            </w:r>
          </w:p>
        </w:tc>
      </w:tr>
      <w:tr w14:paraId="567B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749" w:type="dxa"/>
            <w:vMerge w:val="continue"/>
            <w:shd w:val="clear" w:color="auto" w:fill="FFFFFF"/>
            <w:tcMar>
              <w:left w:w="108" w:type="dxa"/>
              <w:right w:w="108" w:type="dxa"/>
            </w:tcMar>
            <w:vAlign w:val="center"/>
          </w:tcPr>
          <w:p w14:paraId="171A09F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51F80D5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29</w:t>
            </w:r>
          </w:p>
        </w:tc>
        <w:tc>
          <w:tcPr>
            <w:tcW w:w="8497" w:type="dxa"/>
            <w:shd w:val="clear" w:color="auto" w:fill="FFFFFF"/>
            <w:tcMar>
              <w:left w:w="108" w:type="dxa"/>
              <w:right w:w="108" w:type="dxa"/>
            </w:tcMar>
            <w:vAlign w:val="center"/>
          </w:tcPr>
          <w:p w14:paraId="408E7565">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医疗器械注册人、备案人应当开展设计开发到生产的转换活动，并进行充分验证和确认，确保设计开发输出适用于生产。</w:t>
            </w:r>
          </w:p>
        </w:tc>
        <w:tc>
          <w:tcPr>
            <w:tcW w:w="5509" w:type="dxa"/>
            <w:shd w:val="clear" w:color="auto" w:fill="FFFFFF"/>
            <w:tcMar>
              <w:left w:w="108" w:type="dxa"/>
              <w:right w:w="108" w:type="dxa"/>
            </w:tcMar>
            <w:vAlign w:val="center"/>
          </w:tcPr>
          <w:p w14:paraId="61F9E3D0">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《医疗器械生产监督管理办法》第三十条。</w:t>
            </w:r>
          </w:p>
        </w:tc>
      </w:tr>
      <w:tr w14:paraId="51C0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4" w:hRule="atLeast"/>
          <w:jc w:val="center"/>
        </w:trPr>
        <w:tc>
          <w:tcPr>
            <w:tcW w:w="749" w:type="dxa"/>
            <w:vMerge w:val="continue"/>
            <w:shd w:val="clear" w:color="auto" w:fill="FFFFFF"/>
            <w:tcMar>
              <w:left w:w="108" w:type="dxa"/>
              <w:right w:w="108" w:type="dxa"/>
            </w:tcMar>
            <w:vAlign w:val="center"/>
          </w:tcPr>
          <w:p w14:paraId="3F35201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3B7BD0A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30</w:t>
            </w:r>
          </w:p>
        </w:tc>
        <w:tc>
          <w:tcPr>
            <w:tcW w:w="8497" w:type="dxa"/>
            <w:shd w:val="clear" w:color="auto" w:fill="FFFFFF"/>
            <w:tcMar>
              <w:left w:w="108" w:type="dxa"/>
              <w:right w:w="108" w:type="dxa"/>
            </w:tcMar>
            <w:vAlign w:val="center"/>
          </w:tcPr>
          <w:p w14:paraId="68E4492B">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医疗器械注册人、备案人、受托生产企业应当加强采购管理，建立供应商审核制度，对供应商进行评价，确保采购产品和服务符合相关规定要求。</w:t>
            </w:r>
          </w:p>
          <w:p w14:paraId="14B82A8B">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医疗器械注册人、备案人、受托生产企业应当建立原材料采购验收记录制度，确保相关记录真实、准确、完整和可追溯。</w:t>
            </w:r>
          </w:p>
        </w:tc>
        <w:tc>
          <w:tcPr>
            <w:tcW w:w="5509" w:type="dxa"/>
            <w:shd w:val="clear" w:color="auto" w:fill="FFFFFF"/>
            <w:tcMar>
              <w:left w:w="108" w:type="dxa"/>
              <w:right w:w="108" w:type="dxa"/>
            </w:tcMar>
            <w:vAlign w:val="center"/>
          </w:tcPr>
          <w:p w14:paraId="5B4428FA">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《医疗器械生产监督管理办法》第三十一条。</w:t>
            </w:r>
          </w:p>
        </w:tc>
      </w:tr>
      <w:tr w14:paraId="0E7C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9" w:hRule="atLeast"/>
          <w:jc w:val="center"/>
        </w:trPr>
        <w:tc>
          <w:tcPr>
            <w:tcW w:w="749" w:type="dxa"/>
            <w:vMerge w:val="continue"/>
            <w:shd w:val="clear" w:color="auto" w:fill="FFFFFF"/>
            <w:tcMar>
              <w:left w:w="108" w:type="dxa"/>
              <w:right w:w="108" w:type="dxa"/>
            </w:tcMar>
            <w:vAlign w:val="center"/>
          </w:tcPr>
          <w:p w14:paraId="4DCDF0A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2AFAC7D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31</w:t>
            </w:r>
          </w:p>
        </w:tc>
        <w:tc>
          <w:tcPr>
            <w:tcW w:w="8497" w:type="dxa"/>
            <w:shd w:val="clear" w:color="auto" w:fill="FFFFFF"/>
            <w:tcMar>
              <w:left w:w="108" w:type="dxa"/>
              <w:right w:w="108" w:type="dxa"/>
            </w:tcMar>
            <w:vAlign w:val="center"/>
          </w:tcPr>
          <w:p w14:paraId="47214C82">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委托生产的，应当对受托方的质量保证能力和风险管理能力进行评估，按照国家药品监督管理局制定的委托生产质量协议指南要求，与其签订质量协议以及委托协议，监督受托方履行有关协议约定的义务。</w:t>
            </w:r>
          </w:p>
          <w:p w14:paraId="7C56436A">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受托生产企业应当按照法律、法规、规章、医疗器械生产质量管理规范、强制性标准、产品技术要求、委托生产质量协议等要求组织生产，对生产行为负责，并接受医疗器械注册人、备案人的监督。</w:t>
            </w:r>
          </w:p>
        </w:tc>
        <w:tc>
          <w:tcPr>
            <w:tcW w:w="5509" w:type="dxa"/>
            <w:shd w:val="clear" w:color="auto" w:fill="FFFFFF"/>
            <w:tcMar>
              <w:left w:w="108" w:type="dxa"/>
              <w:right w:w="108" w:type="dxa"/>
            </w:tcMar>
            <w:vAlign w:val="center"/>
          </w:tcPr>
          <w:p w14:paraId="1BFE8DE7">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《医疗器械生产监督管理办法》第三十二条。</w:t>
            </w:r>
          </w:p>
        </w:tc>
      </w:tr>
      <w:tr w14:paraId="67A9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749" w:type="dxa"/>
            <w:vMerge w:val="continue"/>
            <w:shd w:val="clear" w:color="auto" w:fill="FFFFFF"/>
            <w:tcMar>
              <w:left w:w="108" w:type="dxa"/>
              <w:right w:w="108" w:type="dxa"/>
            </w:tcMar>
            <w:vAlign w:val="center"/>
          </w:tcPr>
          <w:p w14:paraId="61BE452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55A342C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32</w:t>
            </w:r>
          </w:p>
        </w:tc>
        <w:tc>
          <w:tcPr>
            <w:tcW w:w="8497" w:type="dxa"/>
            <w:shd w:val="clear" w:color="auto" w:fill="FFFFFF"/>
            <w:tcMar>
              <w:left w:w="108" w:type="dxa"/>
              <w:right w:w="108" w:type="dxa"/>
            </w:tcMar>
            <w:vAlign w:val="center"/>
          </w:tcPr>
          <w:p w14:paraId="45E57B39">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医疗器械注册人、备案人、受托生产企业应当建立记录管理制度，确保记录真实、准确、完整和可追溯。</w:t>
            </w:r>
          </w:p>
        </w:tc>
        <w:tc>
          <w:tcPr>
            <w:tcW w:w="5509" w:type="dxa"/>
            <w:shd w:val="clear" w:color="auto" w:fill="FFFFFF"/>
            <w:tcMar>
              <w:left w:w="108" w:type="dxa"/>
              <w:right w:w="108" w:type="dxa"/>
            </w:tcMar>
            <w:vAlign w:val="center"/>
          </w:tcPr>
          <w:p w14:paraId="76FB5E84">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《医疗器械生产监督管理办法》第三十三条第一款。</w:t>
            </w:r>
          </w:p>
        </w:tc>
      </w:tr>
      <w:tr w14:paraId="60AE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3" w:hRule="atLeast"/>
          <w:jc w:val="center"/>
        </w:trPr>
        <w:tc>
          <w:tcPr>
            <w:tcW w:w="749" w:type="dxa"/>
            <w:vMerge w:val="restart"/>
            <w:shd w:val="clear" w:color="auto" w:fill="FFFFFF"/>
            <w:tcMar>
              <w:left w:w="108" w:type="dxa"/>
              <w:right w:w="108" w:type="dxa"/>
            </w:tcMar>
            <w:vAlign w:val="center"/>
          </w:tcPr>
          <w:p w14:paraId="6A453B3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生产管理</w:t>
            </w:r>
          </w:p>
        </w:tc>
        <w:tc>
          <w:tcPr>
            <w:tcW w:w="742" w:type="dxa"/>
            <w:shd w:val="clear" w:color="auto" w:fill="FFFFFF"/>
            <w:tcMar>
              <w:left w:w="108" w:type="dxa"/>
              <w:right w:w="108" w:type="dxa"/>
            </w:tcMar>
            <w:vAlign w:val="center"/>
          </w:tcPr>
          <w:p w14:paraId="606F76A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33</w:t>
            </w:r>
          </w:p>
        </w:tc>
        <w:tc>
          <w:tcPr>
            <w:tcW w:w="8497" w:type="dxa"/>
            <w:shd w:val="clear" w:color="auto" w:fill="FFFFFF"/>
            <w:tcMar>
              <w:left w:w="108" w:type="dxa"/>
              <w:right w:w="108" w:type="dxa"/>
            </w:tcMar>
            <w:vAlign w:val="center"/>
          </w:tcPr>
          <w:p w14:paraId="0692E65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应当负责产品上市放行，建立产品上市放行规程，明确放行标准、条件，并对医疗器械生产过程记录和质量检验结果进行审核，符合标准和条件的，经授权的放行人员签字后方可上市。委托生产的，医疗器械注册人、备案人还应当对受托生产企业的生产放行文件进行审核。</w:t>
            </w:r>
          </w:p>
          <w:p w14:paraId="4E1BE0E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受托生产企业应当建立生产放行规程，明确生产放行的标准、条件，确认符合标准、条件的，方可出厂。</w:t>
            </w:r>
          </w:p>
          <w:p w14:paraId="2DF878E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不符合法律、法规、规章、强制性标准以及经注册或者备案的产品技术要求的，不得放行出厂和上市。</w:t>
            </w:r>
          </w:p>
        </w:tc>
        <w:tc>
          <w:tcPr>
            <w:tcW w:w="5509" w:type="dxa"/>
            <w:shd w:val="clear" w:color="auto" w:fill="FFFFFF"/>
            <w:tcMar>
              <w:left w:w="108" w:type="dxa"/>
              <w:right w:w="108" w:type="dxa"/>
            </w:tcMar>
            <w:vAlign w:val="center"/>
          </w:tcPr>
          <w:p w14:paraId="1726138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《医疗器械生产监督管理办法》第三十四条。</w:t>
            </w:r>
          </w:p>
        </w:tc>
      </w:tr>
      <w:tr w14:paraId="5DC6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jc w:val="center"/>
        </w:trPr>
        <w:tc>
          <w:tcPr>
            <w:tcW w:w="749" w:type="dxa"/>
            <w:vMerge w:val="continue"/>
            <w:shd w:val="clear" w:color="auto" w:fill="FFFFFF"/>
            <w:tcMar>
              <w:left w:w="108" w:type="dxa"/>
              <w:right w:w="108" w:type="dxa"/>
            </w:tcMar>
            <w:vAlign w:val="center"/>
          </w:tcPr>
          <w:p w14:paraId="6BEA639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2ED3B10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34</w:t>
            </w:r>
          </w:p>
        </w:tc>
        <w:tc>
          <w:tcPr>
            <w:tcW w:w="8497" w:type="dxa"/>
            <w:shd w:val="clear" w:color="auto" w:fill="FFFFFF"/>
            <w:tcMar>
              <w:left w:w="108" w:type="dxa"/>
              <w:right w:w="108" w:type="dxa"/>
            </w:tcMar>
            <w:vAlign w:val="center"/>
          </w:tcPr>
          <w:p w14:paraId="0210E85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医疗器械注册人、备案人应当建立并实施产品追溯制度，保证产品可追溯。受托生产企业应当协助注册人、备案人实施产品追溯。</w:t>
            </w:r>
          </w:p>
        </w:tc>
        <w:tc>
          <w:tcPr>
            <w:tcW w:w="5509" w:type="dxa"/>
            <w:shd w:val="clear" w:color="auto" w:fill="FFFFFF"/>
            <w:tcMar>
              <w:left w:w="108" w:type="dxa"/>
              <w:right w:w="108" w:type="dxa"/>
            </w:tcMar>
            <w:vAlign w:val="center"/>
          </w:tcPr>
          <w:p w14:paraId="1FFEAEF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《医疗器械生产监督管理办法》第三十五条。</w:t>
            </w:r>
          </w:p>
        </w:tc>
      </w:tr>
      <w:tr w14:paraId="7538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749" w:type="dxa"/>
            <w:vMerge w:val="continue"/>
            <w:shd w:val="clear" w:color="auto" w:fill="FFFFFF"/>
            <w:tcMar>
              <w:left w:w="108" w:type="dxa"/>
              <w:right w:w="108" w:type="dxa"/>
            </w:tcMar>
            <w:vAlign w:val="center"/>
          </w:tcPr>
          <w:p w14:paraId="7D38D9E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491EF22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35</w:t>
            </w:r>
          </w:p>
        </w:tc>
        <w:tc>
          <w:tcPr>
            <w:tcW w:w="8497" w:type="dxa"/>
            <w:shd w:val="clear" w:color="auto" w:fill="FFFFFF"/>
            <w:tcMar>
              <w:left w:w="108" w:type="dxa"/>
              <w:right w:w="108" w:type="dxa"/>
            </w:tcMar>
            <w:vAlign w:val="center"/>
          </w:tcPr>
          <w:p w14:paraId="3185BAF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医疗器械注册人、备案人、受托生产企业应当按照国家实施医疗器械唯一标识的有关要求，开展赋码、数据上传和维护更新，保证信息真实、准确、完整和可追溯。</w:t>
            </w:r>
          </w:p>
        </w:tc>
        <w:tc>
          <w:tcPr>
            <w:tcW w:w="5509" w:type="dxa"/>
            <w:shd w:val="clear" w:color="auto" w:fill="FFFFFF"/>
            <w:tcMar>
              <w:left w:w="108" w:type="dxa"/>
              <w:right w:w="108" w:type="dxa"/>
            </w:tcMar>
            <w:vAlign w:val="center"/>
          </w:tcPr>
          <w:p w14:paraId="5F3AA64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《医疗器械生产监督管理办法》第三十六条。</w:t>
            </w:r>
          </w:p>
        </w:tc>
      </w:tr>
      <w:tr w14:paraId="63DA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4" w:hRule="atLeast"/>
          <w:jc w:val="center"/>
        </w:trPr>
        <w:tc>
          <w:tcPr>
            <w:tcW w:w="749" w:type="dxa"/>
            <w:vMerge w:val="continue"/>
            <w:shd w:val="clear" w:color="auto" w:fill="FFFFFF"/>
            <w:tcMar>
              <w:left w:w="108" w:type="dxa"/>
              <w:right w:w="108" w:type="dxa"/>
            </w:tcMar>
            <w:vAlign w:val="center"/>
          </w:tcPr>
          <w:p w14:paraId="74EAA95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16855D3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36</w:t>
            </w:r>
          </w:p>
        </w:tc>
        <w:tc>
          <w:tcPr>
            <w:tcW w:w="8497" w:type="dxa"/>
            <w:shd w:val="clear" w:color="auto" w:fill="FFFFFF"/>
            <w:tcMar>
              <w:left w:w="108" w:type="dxa"/>
              <w:right w:w="108" w:type="dxa"/>
            </w:tcMar>
            <w:vAlign w:val="center"/>
          </w:tcPr>
          <w:p w14:paraId="4D624F0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医疗器械注册人、备案人、受托生产企业应当建立纠正措施程序，确定产生问题的原因，采取有效措施，防止相关问题再次发生。</w:t>
            </w:r>
          </w:p>
          <w:p w14:paraId="3EA8C11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医疗器械注册人、备案人、受托生产企业应当建立预防措施程序，查清潜在问题的原因，采取有效措施，防止问题发生。</w:t>
            </w:r>
          </w:p>
        </w:tc>
        <w:tc>
          <w:tcPr>
            <w:tcW w:w="5509" w:type="dxa"/>
            <w:shd w:val="clear" w:color="auto" w:fill="FFFFFF"/>
            <w:tcMar>
              <w:left w:w="108" w:type="dxa"/>
              <w:right w:w="108" w:type="dxa"/>
            </w:tcMar>
            <w:vAlign w:val="center"/>
          </w:tcPr>
          <w:p w14:paraId="640FADB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《医疗器械生产监督管理办法》第三十七条。</w:t>
            </w:r>
          </w:p>
        </w:tc>
      </w:tr>
      <w:tr w14:paraId="1D82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8" w:hRule="atLeast"/>
          <w:jc w:val="center"/>
        </w:trPr>
        <w:tc>
          <w:tcPr>
            <w:tcW w:w="749" w:type="dxa"/>
            <w:vMerge w:val="continue"/>
            <w:shd w:val="clear" w:color="auto" w:fill="FFFFFF"/>
            <w:tcMar>
              <w:left w:w="108" w:type="dxa"/>
              <w:right w:w="108" w:type="dxa"/>
            </w:tcMar>
            <w:vAlign w:val="center"/>
          </w:tcPr>
          <w:p w14:paraId="527F826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1520EA2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37</w:t>
            </w:r>
          </w:p>
        </w:tc>
        <w:tc>
          <w:tcPr>
            <w:tcW w:w="8497" w:type="dxa"/>
            <w:shd w:val="clear" w:color="auto" w:fill="FFFFFF"/>
            <w:tcMar>
              <w:left w:w="108" w:type="dxa"/>
              <w:right w:w="108" w:type="dxa"/>
            </w:tcMar>
            <w:vAlign w:val="center"/>
          </w:tcPr>
          <w:p w14:paraId="0169F0A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应当按照医疗器械生产质量管理规范的要求，对可能影响产品安全性和有效性的原材料、生产工艺等变化进行识别和控制。需要进行注册变更或者备案变更的，应当按照注册备案管理的规定办理相关手续。</w:t>
            </w:r>
          </w:p>
        </w:tc>
        <w:tc>
          <w:tcPr>
            <w:tcW w:w="5509" w:type="dxa"/>
            <w:shd w:val="clear" w:color="auto" w:fill="FFFFFF"/>
            <w:tcMar>
              <w:left w:w="108" w:type="dxa"/>
              <w:right w:w="108" w:type="dxa"/>
            </w:tcMar>
            <w:vAlign w:val="center"/>
          </w:tcPr>
          <w:p w14:paraId="37E1BCC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《医疗器械生产监督管理办法》第三十八条。</w:t>
            </w:r>
          </w:p>
        </w:tc>
      </w:tr>
      <w:tr w14:paraId="42EF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749" w:type="dxa"/>
            <w:vMerge w:val="restart"/>
            <w:shd w:val="clear" w:color="auto" w:fill="FFFFFF"/>
            <w:tcMar>
              <w:left w:w="108" w:type="dxa"/>
              <w:right w:w="108" w:type="dxa"/>
            </w:tcMar>
            <w:vAlign w:val="center"/>
          </w:tcPr>
          <w:p w14:paraId="6879C85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生产管理</w:t>
            </w:r>
          </w:p>
        </w:tc>
        <w:tc>
          <w:tcPr>
            <w:tcW w:w="742" w:type="dxa"/>
            <w:shd w:val="clear" w:color="auto" w:fill="FFFFFF"/>
            <w:tcMar>
              <w:left w:w="108" w:type="dxa"/>
              <w:right w:w="108" w:type="dxa"/>
            </w:tcMar>
            <w:vAlign w:val="center"/>
          </w:tcPr>
          <w:p w14:paraId="368692E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38</w:t>
            </w:r>
          </w:p>
        </w:tc>
        <w:tc>
          <w:tcPr>
            <w:tcW w:w="8497" w:type="dxa"/>
            <w:shd w:val="clear" w:color="auto" w:fill="FFFFFF"/>
            <w:tcMar>
              <w:left w:w="108" w:type="dxa"/>
              <w:right w:w="108" w:type="dxa"/>
            </w:tcMar>
            <w:vAlign w:val="center"/>
          </w:tcPr>
          <w:p w14:paraId="1DAC437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新的强制性标准实施后，医疗器械注册人、备案人应当及时识别产品技术要求和强制性标</w:t>
            </w:r>
            <w:r>
              <w:rPr>
                <w:rFonts w:hint="eastAsia" w:ascii="方正仿宋_GBK" w:hAnsi="方正仿宋_GBK" w:eastAsia="方正仿宋_GBK" w:cs="方正仿宋_GBK"/>
                <w:spacing w:val="-6"/>
                <w:sz w:val="18"/>
                <w:szCs w:val="18"/>
              </w:rPr>
              <w:t>准的差异，需要进行注册变更或者备案变更的，应当按照注册备案管理的规定办理相关手续。</w:t>
            </w:r>
          </w:p>
        </w:tc>
        <w:tc>
          <w:tcPr>
            <w:tcW w:w="5509" w:type="dxa"/>
            <w:shd w:val="clear" w:color="auto" w:fill="FFFFFF"/>
            <w:tcMar>
              <w:left w:w="108" w:type="dxa"/>
              <w:right w:w="108" w:type="dxa"/>
            </w:tcMar>
            <w:vAlign w:val="center"/>
          </w:tcPr>
          <w:p w14:paraId="4000B8E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《医疗器械生产监督管理办法》第三十九条。</w:t>
            </w:r>
          </w:p>
        </w:tc>
      </w:tr>
      <w:tr w14:paraId="4101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7" w:hRule="atLeast"/>
          <w:jc w:val="center"/>
        </w:trPr>
        <w:tc>
          <w:tcPr>
            <w:tcW w:w="749" w:type="dxa"/>
            <w:vMerge w:val="continue"/>
            <w:shd w:val="clear" w:color="auto" w:fill="FFFFFF"/>
            <w:tcMar>
              <w:left w:w="108" w:type="dxa"/>
              <w:right w:w="108" w:type="dxa"/>
            </w:tcMar>
            <w:vAlign w:val="center"/>
          </w:tcPr>
          <w:p w14:paraId="66B83E1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4F70DD9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39</w:t>
            </w:r>
          </w:p>
        </w:tc>
        <w:tc>
          <w:tcPr>
            <w:tcW w:w="8497" w:type="dxa"/>
            <w:shd w:val="clear" w:color="auto" w:fill="FFFFFF"/>
            <w:tcMar>
              <w:left w:w="108" w:type="dxa"/>
              <w:right w:w="108" w:type="dxa"/>
            </w:tcMar>
            <w:vAlign w:val="center"/>
          </w:tcPr>
          <w:p w14:paraId="2BBC07EE">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医疗器械注册人、备案人依法对上市医疗器械的安全、有效负责，受托生产企业对受托生产行为负责，经营企业对本企业经营行为负责。企业应当按照“权责一致、责任到人，因岗选人、人岗相适，尽职免责、奖惩有据”的原则，设置质量安全关键岗位，配备与生产或者经营产品性质、企业规模相适应的质量安全关键岗位人员，并为其履职提供必要的资源和制度保障，确保质量安全关键岗位人员充分履职。</w:t>
            </w:r>
          </w:p>
        </w:tc>
        <w:tc>
          <w:tcPr>
            <w:tcW w:w="5509" w:type="dxa"/>
            <w:shd w:val="clear" w:color="auto" w:fill="FFFFFF"/>
            <w:tcMar>
              <w:left w:w="108" w:type="dxa"/>
              <w:right w:w="108" w:type="dxa"/>
            </w:tcMar>
            <w:vAlign w:val="center"/>
          </w:tcPr>
          <w:p w14:paraId="4043FEFE">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《企业落实医疗器械质量安全主体责任监督管理规定》第三条。</w:t>
            </w:r>
          </w:p>
        </w:tc>
      </w:tr>
      <w:tr w14:paraId="222A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749" w:type="dxa"/>
            <w:vMerge w:val="continue"/>
            <w:shd w:val="clear" w:color="auto" w:fill="FFFFFF"/>
            <w:tcMar>
              <w:left w:w="108" w:type="dxa"/>
              <w:right w:w="108" w:type="dxa"/>
            </w:tcMar>
            <w:vAlign w:val="center"/>
          </w:tcPr>
          <w:p w14:paraId="0B1AF6F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0BB1F0C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40</w:t>
            </w:r>
          </w:p>
        </w:tc>
        <w:tc>
          <w:tcPr>
            <w:tcW w:w="8497" w:type="dxa"/>
            <w:shd w:val="clear" w:color="auto" w:fill="FFFFFF"/>
            <w:tcMar>
              <w:left w:w="108" w:type="dxa"/>
              <w:right w:w="108" w:type="dxa"/>
            </w:tcMar>
            <w:vAlign w:val="center"/>
          </w:tcPr>
          <w:p w14:paraId="5261E240">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生产企业负责人应当与管理者代表签订授权书，明确管理者代表应当履行的质量管理职责并授予相应的权限。企业应当在确定管理者代表15个工作日内向所在地药品监督管理部门报告。</w:t>
            </w:r>
          </w:p>
          <w:p w14:paraId="475280D9">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企业应当建立健全管理者代表相关管理制度和考核机制，为管理者代表履行职责提供必要条件，同时确保其在履行职责时不受企业内部因素的不当干扰。对于不能有效履职的管理者代表，企业负责人应当立即代其履职，或者指定符合《企业落实医疗器械质量安全主体责任监督管理规定》第六条要求的人员代其履行管理者代表职责，并于30个工作日内确定和任命新的管理者代表。</w:t>
            </w:r>
          </w:p>
        </w:tc>
        <w:tc>
          <w:tcPr>
            <w:tcW w:w="5509" w:type="dxa"/>
            <w:shd w:val="clear" w:color="auto" w:fill="FFFFFF"/>
            <w:tcMar>
              <w:left w:w="108" w:type="dxa"/>
              <w:right w:w="108" w:type="dxa"/>
            </w:tcMar>
            <w:vAlign w:val="center"/>
          </w:tcPr>
          <w:p w14:paraId="7E98B610">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《企业落实医疗器械质量安全主体责任监督管理规定》第六条、第八条。</w:t>
            </w:r>
          </w:p>
        </w:tc>
      </w:tr>
      <w:tr w14:paraId="1938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3" w:hRule="atLeast"/>
          <w:jc w:val="center"/>
        </w:trPr>
        <w:tc>
          <w:tcPr>
            <w:tcW w:w="749" w:type="dxa"/>
            <w:vMerge w:val="continue"/>
            <w:shd w:val="clear" w:color="auto" w:fill="FFFFFF"/>
            <w:tcMar>
              <w:left w:w="108" w:type="dxa"/>
              <w:right w:w="108" w:type="dxa"/>
            </w:tcMar>
            <w:vAlign w:val="center"/>
          </w:tcPr>
          <w:p w14:paraId="5328613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02CC96B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41</w:t>
            </w:r>
          </w:p>
        </w:tc>
        <w:tc>
          <w:tcPr>
            <w:tcW w:w="8497" w:type="dxa"/>
            <w:shd w:val="clear" w:color="auto" w:fill="FFFFFF"/>
            <w:tcMar>
              <w:left w:w="108" w:type="dxa"/>
              <w:right w:w="108" w:type="dxa"/>
            </w:tcMar>
            <w:vAlign w:val="center"/>
          </w:tcPr>
          <w:p w14:paraId="73C27B6F">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pacing w:val="-6"/>
                <w:sz w:val="18"/>
                <w:szCs w:val="18"/>
                <w:lang w:eastAsia="zh-CN"/>
              </w:rPr>
            </w:pPr>
            <w:r>
              <w:rPr>
                <w:rFonts w:hint="eastAsia" w:ascii="方正仿宋_GBK" w:hAnsi="方正仿宋_GBK" w:eastAsia="方正仿宋_GBK" w:cs="方正仿宋_GBK"/>
                <w:spacing w:val="-6"/>
                <w:sz w:val="18"/>
                <w:szCs w:val="18"/>
                <w:lang w:eastAsia="zh-CN"/>
              </w:rPr>
              <w:t>生产企业负责人应当每季度至少听取一次管理者代表工作情况汇报，对企业生产情况和质量安全管理情况进行回顾分析，对风险防控重点工作进行研究并作出调度安排，形成调度记录。</w:t>
            </w:r>
          </w:p>
        </w:tc>
        <w:tc>
          <w:tcPr>
            <w:tcW w:w="5509" w:type="dxa"/>
            <w:shd w:val="clear" w:color="auto" w:fill="FFFFFF"/>
            <w:tcMar>
              <w:left w:w="108" w:type="dxa"/>
              <w:right w:w="108" w:type="dxa"/>
            </w:tcMar>
            <w:vAlign w:val="center"/>
          </w:tcPr>
          <w:p w14:paraId="13963FB8">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《企业落实医疗器械质量安全主体责任监督管理规定》第二十一条。</w:t>
            </w:r>
          </w:p>
        </w:tc>
      </w:tr>
      <w:tr w14:paraId="3E99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9" w:hRule="atLeast"/>
          <w:jc w:val="center"/>
        </w:trPr>
        <w:tc>
          <w:tcPr>
            <w:tcW w:w="749" w:type="dxa"/>
            <w:vMerge w:val="restart"/>
            <w:shd w:val="clear" w:color="auto" w:fill="FFFFFF"/>
            <w:tcMar>
              <w:left w:w="108" w:type="dxa"/>
              <w:right w:w="108" w:type="dxa"/>
            </w:tcMar>
            <w:vAlign w:val="center"/>
          </w:tcPr>
          <w:p w14:paraId="75B55F6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生产管理</w:t>
            </w:r>
          </w:p>
        </w:tc>
        <w:tc>
          <w:tcPr>
            <w:tcW w:w="742" w:type="dxa"/>
            <w:shd w:val="clear" w:color="auto" w:fill="FFFFFF"/>
            <w:tcMar>
              <w:left w:w="108" w:type="dxa"/>
              <w:right w:w="108" w:type="dxa"/>
            </w:tcMar>
            <w:vAlign w:val="center"/>
          </w:tcPr>
          <w:p w14:paraId="158D0EA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42</w:t>
            </w:r>
          </w:p>
        </w:tc>
        <w:tc>
          <w:tcPr>
            <w:tcW w:w="8497" w:type="dxa"/>
            <w:shd w:val="clear" w:color="auto" w:fill="FFFFFF"/>
            <w:tcMar>
              <w:left w:w="108" w:type="dxa"/>
              <w:right w:w="108" w:type="dxa"/>
            </w:tcMar>
            <w:vAlign w:val="center"/>
          </w:tcPr>
          <w:p w14:paraId="00233507">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医疗器械注册人、备案人和被抽样单位获知产品不符合规定后，应当履行以下义务：</w:t>
            </w:r>
          </w:p>
          <w:p w14:paraId="25CAB5D8">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（一）实施产品召回并发布召回信息；</w:t>
            </w:r>
          </w:p>
          <w:p w14:paraId="33E1E618">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（二）立即深入进行自查，分析原因，进行风险评估；</w:t>
            </w:r>
          </w:p>
          <w:p w14:paraId="01A6855F">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（三）根据调查评估情况采取必要的风险控制措施。</w:t>
            </w:r>
          </w:p>
          <w:p w14:paraId="51B23FB8">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申请复检期间，应当继续实施对不符合规定产品的风险控制措施。</w:t>
            </w:r>
          </w:p>
        </w:tc>
        <w:tc>
          <w:tcPr>
            <w:tcW w:w="5509" w:type="dxa"/>
            <w:shd w:val="clear" w:color="auto" w:fill="FFFFFF"/>
            <w:tcMar>
              <w:left w:w="108" w:type="dxa"/>
              <w:right w:w="108" w:type="dxa"/>
            </w:tcMar>
            <w:vAlign w:val="center"/>
          </w:tcPr>
          <w:p w14:paraId="4305CA59">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《医疗器械质量抽查检验管理办法》第三十八条。</w:t>
            </w:r>
          </w:p>
        </w:tc>
      </w:tr>
      <w:tr w14:paraId="39E2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1" w:hRule="atLeast"/>
          <w:jc w:val="center"/>
        </w:trPr>
        <w:tc>
          <w:tcPr>
            <w:tcW w:w="749" w:type="dxa"/>
            <w:vMerge w:val="continue"/>
            <w:shd w:val="clear" w:color="auto" w:fill="FFFFFF"/>
            <w:tcMar>
              <w:left w:w="108" w:type="dxa"/>
              <w:right w:w="108" w:type="dxa"/>
            </w:tcMar>
            <w:vAlign w:val="center"/>
          </w:tcPr>
          <w:p w14:paraId="10632F8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32EA10B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43</w:t>
            </w:r>
          </w:p>
        </w:tc>
        <w:tc>
          <w:tcPr>
            <w:tcW w:w="8497" w:type="dxa"/>
            <w:shd w:val="clear" w:color="auto" w:fill="FFFFFF"/>
            <w:tcMar>
              <w:left w:w="108" w:type="dxa"/>
              <w:right w:w="108" w:type="dxa"/>
            </w:tcMar>
            <w:vAlign w:val="center"/>
          </w:tcPr>
          <w:p w14:paraId="2409797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医疗器械注册人、备案人、受托生产企业应当按照医疗器械不良事件监测相关规定落实不良事件监测责任，开展不良事件监测，向医疗器械不良事件监测技术机构报告调查、分析、评价、产品风险控制等情况。</w:t>
            </w:r>
          </w:p>
        </w:tc>
        <w:tc>
          <w:tcPr>
            <w:tcW w:w="5509" w:type="dxa"/>
            <w:shd w:val="clear" w:color="auto" w:fill="FFFFFF"/>
            <w:tcMar>
              <w:left w:w="108" w:type="dxa"/>
              <w:right w:w="108" w:type="dxa"/>
            </w:tcMar>
            <w:vAlign w:val="center"/>
          </w:tcPr>
          <w:p w14:paraId="29EC08E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《医疗器械生产监督管理办法》第四十条。</w:t>
            </w:r>
          </w:p>
        </w:tc>
      </w:tr>
      <w:tr w14:paraId="2720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7" w:hRule="atLeast"/>
          <w:jc w:val="center"/>
        </w:trPr>
        <w:tc>
          <w:tcPr>
            <w:tcW w:w="749" w:type="dxa"/>
            <w:vMerge w:val="continue"/>
            <w:shd w:val="clear" w:color="auto" w:fill="FFFFFF"/>
            <w:tcMar>
              <w:left w:w="108" w:type="dxa"/>
              <w:right w:w="108" w:type="dxa"/>
            </w:tcMar>
            <w:vAlign w:val="center"/>
          </w:tcPr>
          <w:p w14:paraId="4AE8745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2BB0321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44</w:t>
            </w:r>
          </w:p>
        </w:tc>
        <w:tc>
          <w:tcPr>
            <w:tcW w:w="8497" w:type="dxa"/>
            <w:shd w:val="clear" w:color="auto" w:fill="FFFFFF"/>
            <w:tcMar>
              <w:left w:w="108" w:type="dxa"/>
              <w:right w:w="108" w:type="dxa"/>
            </w:tcMar>
            <w:vAlign w:val="center"/>
          </w:tcPr>
          <w:p w14:paraId="712CA02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发现生产的医疗器械不符合强制性标准、经注册或者备案的产品技术要求，或者存在其他缺陷的，应当立即停止生产，通知相关经营企业、使用单位和消费者停止经营和使用，召回已经上市销售的医疗器械，采取补救、销毁等措施，记录相关情况，发布相关信息，并将医疗器械召回和处理情况向负责药品监督管理的部门和卫生主管部门报告。</w:t>
            </w:r>
          </w:p>
          <w:p w14:paraId="37BE323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受托生产企业、经营企业发现生产、经营的医疗器械存在前款规定情形的，应当立即停止生产、经营，通知医疗器械注册人、备案人，并记录停止生产、经营和通知情况。医疗器械注册人、备案人认为属于依照前款规定需要召回的医疗器械，应当立即召回。</w:t>
            </w:r>
          </w:p>
        </w:tc>
        <w:tc>
          <w:tcPr>
            <w:tcW w:w="5509" w:type="dxa"/>
            <w:shd w:val="clear" w:color="auto" w:fill="FFFFFF"/>
            <w:tcMar>
              <w:left w:w="108" w:type="dxa"/>
              <w:right w:w="108" w:type="dxa"/>
            </w:tcMar>
            <w:vAlign w:val="center"/>
          </w:tcPr>
          <w:p w14:paraId="0AA9565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《医疗器械监督管理条例》第六十七条第一款、第二款；《医疗器械生产监督管理办法》第四十一条。</w:t>
            </w:r>
          </w:p>
        </w:tc>
      </w:tr>
      <w:tr w14:paraId="0966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1" w:hRule="atLeast"/>
          <w:jc w:val="center"/>
        </w:trPr>
        <w:tc>
          <w:tcPr>
            <w:tcW w:w="749" w:type="dxa"/>
            <w:vMerge w:val="restart"/>
            <w:shd w:val="clear" w:color="auto" w:fill="FFFFFF"/>
            <w:tcMar>
              <w:left w:w="108" w:type="dxa"/>
              <w:right w:w="108" w:type="dxa"/>
            </w:tcMar>
            <w:vAlign w:val="center"/>
          </w:tcPr>
          <w:p w14:paraId="6664BC9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生产管理</w:t>
            </w:r>
          </w:p>
        </w:tc>
        <w:tc>
          <w:tcPr>
            <w:tcW w:w="742" w:type="dxa"/>
            <w:shd w:val="clear" w:color="auto" w:fill="FFFFFF"/>
            <w:tcMar>
              <w:left w:w="108" w:type="dxa"/>
              <w:right w:w="108" w:type="dxa"/>
            </w:tcMar>
            <w:vAlign w:val="center"/>
          </w:tcPr>
          <w:p w14:paraId="52EDAE0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45</w:t>
            </w:r>
          </w:p>
        </w:tc>
        <w:tc>
          <w:tcPr>
            <w:tcW w:w="8497" w:type="dxa"/>
            <w:shd w:val="clear" w:color="auto" w:fill="FFFFFF"/>
            <w:tcMar>
              <w:left w:w="108" w:type="dxa"/>
              <w:right w:w="108" w:type="dxa"/>
            </w:tcMar>
            <w:vAlign w:val="center"/>
          </w:tcPr>
          <w:p w14:paraId="05AABCB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医疗器械生产企业应当向药品监督管理部门报告所生产的产品品种情况。</w:t>
            </w:r>
          </w:p>
          <w:p w14:paraId="4F6909C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增加生产产品品种的，应当向原生产许可或者生产备案部门报告，涉及委托生产的，还应当提供委托方、受托生产产品、受托期限等信息。</w:t>
            </w:r>
          </w:p>
          <w:p w14:paraId="37D730A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医疗器械生产企业增加生产产品涉及生产条件变化，可能影响产品安全、有效的，应当在增加生产产品30个工作日前向原生产许可部门报告。</w:t>
            </w:r>
          </w:p>
        </w:tc>
        <w:tc>
          <w:tcPr>
            <w:tcW w:w="5509" w:type="dxa"/>
            <w:shd w:val="clear" w:color="auto" w:fill="FFFFFF"/>
            <w:tcMar>
              <w:left w:w="108" w:type="dxa"/>
              <w:right w:w="108" w:type="dxa"/>
            </w:tcMar>
            <w:vAlign w:val="center"/>
          </w:tcPr>
          <w:p w14:paraId="467E492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《医疗器械生产监督管理办法》第四十二条。</w:t>
            </w:r>
          </w:p>
        </w:tc>
      </w:tr>
      <w:tr w14:paraId="0588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749" w:type="dxa"/>
            <w:vMerge w:val="continue"/>
            <w:shd w:val="clear" w:color="auto" w:fill="FFFFFF"/>
            <w:tcMar>
              <w:left w:w="108" w:type="dxa"/>
              <w:right w:w="108" w:type="dxa"/>
            </w:tcMar>
            <w:vAlign w:val="center"/>
          </w:tcPr>
          <w:p w14:paraId="0FFA3A9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2D1EA33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46</w:t>
            </w:r>
          </w:p>
        </w:tc>
        <w:tc>
          <w:tcPr>
            <w:tcW w:w="8497" w:type="dxa"/>
            <w:shd w:val="clear" w:color="auto" w:fill="FFFFFF"/>
            <w:tcMar>
              <w:left w:w="108" w:type="dxa"/>
              <w:right w:w="108" w:type="dxa"/>
            </w:tcMar>
            <w:vAlign w:val="center"/>
          </w:tcPr>
          <w:p w14:paraId="38D5181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医疗器械生产企业连续停产一年以上且无同类产品在产的，重新生产时，应当进行必要的验证和确认，并书面报告药品监督管理部门。可能影响质量安全的，药品监督管理部门可以根据需要组织核查。</w:t>
            </w:r>
          </w:p>
        </w:tc>
        <w:tc>
          <w:tcPr>
            <w:tcW w:w="5509" w:type="dxa"/>
            <w:shd w:val="clear" w:color="auto" w:fill="FFFFFF"/>
            <w:tcMar>
              <w:left w:w="108" w:type="dxa"/>
              <w:right w:w="108" w:type="dxa"/>
            </w:tcMar>
            <w:vAlign w:val="center"/>
          </w:tcPr>
          <w:p w14:paraId="7C6DCF8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《医疗器械生产监督管理办法》第四十三条。</w:t>
            </w:r>
          </w:p>
        </w:tc>
      </w:tr>
      <w:tr w14:paraId="370F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6" w:hRule="atLeast"/>
          <w:jc w:val="center"/>
        </w:trPr>
        <w:tc>
          <w:tcPr>
            <w:tcW w:w="749" w:type="dxa"/>
            <w:vMerge w:val="continue"/>
            <w:shd w:val="clear" w:color="auto" w:fill="FFFFFF"/>
            <w:tcMar>
              <w:left w:w="108" w:type="dxa"/>
              <w:right w:w="108" w:type="dxa"/>
            </w:tcMar>
            <w:vAlign w:val="center"/>
          </w:tcPr>
          <w:p w14:paraId="62AF5C8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0EC5B76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47</w:t>
            </w:r>
          </w:p>
        </w:tc>
        <w:tc>
          <w:tcPr>
            <w:tcW w:w="8497" w:type="dxa"/>
            <w:shd w:val="clear" w:color="auto" w:fill="FFFFFF"/>
            <w:tcMar>
              <w:left w:w="108" w:type="dxa"/>
              <w:right w:w="108" w:type="dxa"/>
            </w:tcMar>
            <w:vAlign w:val="center"/>
          </w:tcPr>
          <w:p w14:paraId="78FDB90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的生产条件发生变化，不再符合医疗器械质量管理体系要求的，医疗器械注册人、备案人、受托生产企业应当立即采取整改措施；可能影响医疗器械安全、有效的，应当立即停止生产活动，并向原生产许可或者生产备案部门报告。</w:t>
            </w:r>
          </w:p>
          <w:p w14:paraId="28B5FE7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受托生产企业应当及时将变化情况告知医疗器械注册人、备案人。</w:t>
            </w:r>
          </w:p>
        </w:tc>
        <w:tc>
          <w:tcPr>
            <w:tcW w:w="5509" w:type="dxa"/>
            <w:shd w:val="clear" w:color="auto" w:fill="FFFFFF"/>
            <w:tcMar>
              <w:left w:w="108" w:type="dxa"/>
              <w:right w:w="108" w:type="dxa"/>
            </w:tcMar>
            <w:vAlign w:val="center"/>
          </w:tcPr>
          <w:p w14:paraId="4F0CADA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《医疗器械监督管理条例》第三十六条；《医疗器械生产监督管理办法》第四十四条。</w:t>
            </w:r>
          </w:p>
        </w:tc>
      </w:tr>
      <w:tr w14:paraId="1C8C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9" w:hRule="atLeast"/>
          <w:jc w:val="center"/>
        </w:trPr>
        <w:tc>
          <w:tcPr>
            <w:tcW w:w="749" w:type="dxa"/>
            <w:vMerge w:val="continue"/>
            <w:shd w:val="clear" w:color="auto" w:fill="FFFFFF"/>
            <w:tcMar>
              <w:left w:w="108" w:type="dxa"/>
              <w:right w:w="108" w:type="dxa"/>
            </w:tcMar>
            <w:vAlign w:val="center"/>
          </w:tcPr>
          <w:p w14:paraId="7A9BC79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42855D0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48</w:t>
            </w:r>
          </w:p>
        </w:tc>
        <w:tc>
          <w:tcPr>
            <w:tcW w:w="8497" w:type="dxa"/>
            <w:shd w:val="clear" w:color="auto" w:fill="FFFFFF"/>
            <w:tcMar>
              <w:left w:w="108" w:type="dxa"/>
              <w:right w:w="108" w:type="dxa"/>
            </w:tcMar>
            <w:vAlign w:val="center"/>
          </w:tcPr>
          <w:p w14:paraId="7CBBAEF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每年对质量管理体系的运行情况进行自查，并于次年3月31日前向所在地药品监督管理部门提交自查报告。进口医疗器械注册人、备案人由其代理人向代理人所在地省、自治区、直辖市药品监督管理部门提交自查报告。</w:t>
            </w:r>
          </w:p>
        </w:tc>
        <w:tc>
          <w:tcPr>
            <w:tcW w:w="5509" w:type="dxa"/>
            <w:shd w:val="clear" w:color="auto" w:fill="FFFFFF"/>
            <w:tcMar>
              <w:left w:w="108" w:type="dxa"/>
              <w:right w:w="108" w:type="dxa"/>
            </w:tcMar>
            <w:vAlign w:val="center"/>
          </w:tcPr>
          <w:p w14:paraId="3726E19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《医疗器械生产监督管理办法》第四十五条。</w:t>
            </w:r>
          </w:p>
        </w:tc>
      </w:tr>
      <w:tr w14:paraId="3C74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5" w:hRule="atLeast"/>
          <w:jc w:val="center"/>
        </w:trPr>
        <w:tc>
          <w:tcPr>
            <w:tcW w:w="749" w:type="dxa"/>
            <w:vMerge w:val="restart"/>
            <w:shd w:val="clear" w:color="auto" w:fill="FFFFFF"/>
            <w:tcMar>
              <w:left w:w="108" w:type="dxa"/>
              <w:right w:w="108" w:type="dxa"/>
            </w:tcMar>
            <w:vAlign w:val="center"/>
          </w:tcPr>
          <w:p w14:paraId="6FA7285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说明书管理</w:t>
            </w:r>
          </w:p>
        </w:tc>
        <w:tc>
          <w:tcPr>
            <w:tcW w:w="742" w:type="dxa"/>
            <w:shd w:val="clear" w:color="auto" w:fill="FFFFFF"/>
            <w:tcMar>
              <w:left w:w="108" w:type="dxa"/>
              <w:right w:w="108" w:type="dxa"/>
            </w:tcMar>
            <w:vAlign w:val="center"/>
          </w:tcPr>
          <w:p w14:paraId="7FAE4F0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49</w:t>
            </w:r>
          </w:p>
        </w:tc>
        <w:tc>
          <w:tcPr>
            <w:tcW w:w="8497" w:type="dxa"/>
            <w:shd w:val="clear" w:color="auto" w:fill="FFFFFF"/>
            <w:tcMar>
              <w:left w:w="108" w:type="dxa"/>
              <w:right w:w="108" w:type="dxa"/>
            </w:tcMar>
            <w:vAlign w:val="center"/>
          </w:tcPr>
          <w:p w14:paraId="67DC2C6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医疗器械应当有说明书、标签。说明书、标签的内容应当与经注册或者备案的相关内容一致，确保真实、准确。</w:t>
            </w:r>
          </w:p>
          <w:p w14:paraId="7C5753B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医疗器械的说明书、标签应当标明下列事项：</w:t>
            </w:r>
          </w:p>
          <w:p w14:paraId="5A4D14F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一）通用名称、型号、规格；（二）医疗器械注册人、备案人、受托生产企业的名称、地址以及联系方式；（三）生产日期，使用期限或者失效日期；（四）产品性能、主要结构、适用范围；（五）禁忌、注意事项以及其他需要警示或者提示的内容；（六）安装和使用说明或者图示；（七）维护和保养方法，特殊运输、贮存的条件、方法；（八）产品技术要求规定应当标明的其他内容。</w:t>
            </w:r>
          </w:p>
          <w:p w14:paraId="393A6DF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第二类、第三类医疗器械还应当标明医疗器械注册证编号。</w:t>
            </w:r>
          </w:p>
          <w:p w14:paraId="42AD1CD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由消费者个人自行使用的医疗器械还应当具有安全使用的特别说明。</w:t>
            </w:r>
          </w:p>
        </w:tc>
        <w:tc>
          <w:tcPr>
            <w:tcW w:w="5509" w:type="dxa"/>
            <w:shd w:val="clear" w:color="auto" w:fill="FFFFFF"/>
            <w:tcMar>
              <w:left w:w="108" w:type="dxa"/>
              <w:right w:w="108" w:type="dxa"/>
            </w:tcMar>
            <w:vAlign w:val="center"/>
          </w:tcPr>
          <w:p w14:paraId="1A3A84B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《医疗器械监督管理条例》第三十九条。</w:t>
            </w:r>
          </w:p>
        </w:tc>
      </w:tr>
      <w:tr w14:paraId="0FF9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749" w:type="dxa"/>
            <w:vMerge w:val="continue"/>
            <w:shd w:val="clear" w:color="auto" w:fill="FFFFFF"/>
            <w:tcMar>
              <w:left w:w="108" w:type="dxa"/>
              <w:right w:w="108" w:type="dxa"/>
            </w:tcMar>
            <w:vAlign w:val="center"/>
          </w:tcPr>
          <w:p w14:paraId="60C4729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33CF72E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50</w:t>
            </w:r>
          </w:p>
        </w:tc>
        <w:tc>
          <w:tcPr>
            <w:tcW w:w="8497" w:type="dxa"/>
            <w:shd w:val="clear" w:color="auto" w:fill="FFFFFF"/>
            <w:tcMar>
              <w:left w:w="108" w:type="dxa"/>
              <w:right w:w="108" w:type="dxa"/>
            </w:tcMar>
            <w:vAlign w:val="center"/>
          </w:tcPr>
          <w:p w14:paraId="517B07B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应当使用通用名称。通用名称应当符合国务院药品监督管理部门制定的医疗器械命名规则。第二类、第三类医疗器械的产品名称应当与医疗器械注册证中的产品名称一致。产品名称应当清晰地标明在说明书和标签的显著位置。</w:t>
            </w:r>
          </w:p>
        </w:tc>
        <w:tc>
          <w:tcPr>
            <w:tcW w:w="5509" w:type="dxa"/>
            <w:shd w:val="clear" w:color="auto" w:fill="FFFFFF"/>
            <w:tcMar>
              <w:left w:w="108" w:type="dxa"/>
              <w:right w:w="108" w:type="dxa"/>
            </w:tcMar>
            <w:vAlign w:val="center"/>
          </w:tcPr>
          <w:p w14:paraId="7176D9F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《医疗器械监督管理条例》第三十七条。</w:t>
            </w:r>
          </w:p>
        </w:tc>
      </w:tr>
      <w:tr w14:paraId="5BAE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749" w:type="dxa"/>
            <w:vMerge w:val="restart"/>
            <w:shd w:val="clear" w:color="auto" w:fill="FFFFFF"/>
            <w:tcMar>
              <w:left w:w="108" w:type="dxa"/>
              <w:right w:w="108" w:type="dxa"/>
            </w:tcMar>
            <w:vAlign w:val="center"/>
          </w:tcPr>
          <w:p w14:paraId="142DA698">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产品储存、运输和销售</w:t>
            </w:r>
          </w:p>
        </w:tc>
        <w:tc>
          <w:tcPr>
            <w:tcW w:w="742" w:type="dxa"/>
            <w:shd w:val="clear" w:color="auto" w:fill="FFFFFF"/>
            <w:tcMar>
              <w:left w:w="108" w:type="dxa"/>
              <w:right w:w="108" w:type="dxa"/>
            </w:tcMar>
            <w:vAlign w:val="center"/>
          </w:tcPr>
          <w:p w14:paraId="3FF6D1D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51</w:t>
            </w:r>
          </w:p>
        </w:tc>
        <w:tc>
          <w:tcPr>
            <w:tcW w:w="8497" w:type="dxa"/>
            <w:shd w:val="clear" w:color="auto" w:fill="FFFFFF"/>
            <w:tcMar>
              <w:left w:w="108" w:type="dxa"/>
              <w:right w:w="108" w:type="dxa"/>
            </w:tcMar>
            <w:vAlign w:val="center"/>
          </w:tcPr>
          <w:p w14:paraId="3C767E5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医疗器械注册人、备案人经营其注册、备案的医疗器械，无需办理医疗器械经营许可或者备案，但应当符合本条例规定的经营条件。</w:t>
            </w:r>
          </w:p>
        </w:tc>
        <w:tc>
          <w:tcPr>
            <w:tcW w:w="5509" w:type="dxa"/>
            <w:shd w:val="clear" w:color="auto" w:fill="FFFFFF"/>
            <w:tcMar>
              <w:left w:w="108" w:type="dxa"/>
              <w:right w:w="108" w:type="dxa"/>
            </w:tcMar>
            <w:vAlign w:val="center"/>
          </w:tcPr>
          <w:p w14:paraId="7BB72D8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《医疗器械监督管理条例》第四十三条。</w:t>
            </w:r>
          </w:p>
        </w:tc>
      </w:tr>
      <w:tr w14:paraId="4011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749" w:type="dxa"/>
            <w:vMerge w:val="continue"/>
            <w:shd w:val="clear" w:color="auto" w:fill="FFFFFF"/>
            <w:tcMar>
              <w:left w:w="108" w:type="dxa"/>
              <w:right w:w="108" w:type="dxa"/>
            </w:tcMar>
            <w:vAlign w:val="center"/>
          </w:tcPr>
          <w:p w14:paraId="5A41B15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1CCF8E1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52</w:t>
            </w:r>
          </w:p>
        </w:tc>
        <w:tc>
          <w:tcPr>
            <w:tcW w:w="8497" w:type="dxa"/>
            <w:shd w:val="clear" w:color="auto" w:fill="FFFFFF"/>
            <w:tcMar>
              <w:left w:w="108" w:type="dxa"/>
              <w:right w:w="108" w:type="dxa"/>
            </w:tcMar>
            <w:vAlign w:val="center"/>
          </w:tcPr>
          <w:p w14:paraId="6A4E1D5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委托其他单位运输、贮存医疗器械的，应当对受托方运输、贮存医疗器械的质量保障能力进行评估，并与其签订委托协议，明确运输、贮存过程中的质量责任，确保运输、贮存过程中的质量安全。</w:t>
            </w:r>
          </w:p>
        </w:tc>
        <w:tc>
          <w:tcPr>
            <w:tcW w:w="5509" w:type="dxa"/>
            <w:shd w:val="clear" w:color="auto" w:fill="FFFFFF"/>
            <w:tcMar>
              <w:left w:w="108" w:type="dxa"/>
              <w:right w:w="108" w:type="dxa"/>
            </w:tcMar>
            <w:vAlign w:val="center"/>
          </w:tcPr>
          <w:p w14:paraId="262D327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《医疗器械经营监督管理办法》第三十四条。</w:t>
            </w:r>
          </w:p>
        </w:tc>
      </w:tr>
      <w:tr w14:paraId="4C8A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749" w:type="dxa"/>
            <w:vMerge w:val="restart"/>
            <w:shd w:val="clear" w:color="auto" w:fill="FFFFFF"/>
            <w:tcMar>
              <w:left w:w="108" w:type="dxa"/>
              <w:right w:w="108" w:type="dxa"/>
            </w:tcMar>
            <w:vAlign w:val="center"/>
          </w:tcPr>
          <w:p w14:paraId="0B4FF10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不良事件监测和产品再评价</w:t>
            </w:r>
          </w:p>
        </w:tc>
        <w:tc>
          <w:tcPr>
            <w:tcW w:w="742" w:type="dxa"/>
            <w:shd w:val="clear" w:color="auto" w:fill="FFFFFF"/>
            <w:tcMar>
              <w:left w:w="108" w:type="dxa"/>
              <w:right w:w="108" w:type="dxa"/>
            </w:tcMar>
            <w:vAlign w:val="center"/>
          </w:tcPr>
          <w:p w14:paraId="3B23524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53</w:t>
            </w:r>
          </w:p>
        </w:tc>
        <w:tc>
          <w:tcPr>
            <w:tcW w:w="8497" w:type="dxa"/>
            <w:shd w:val="clear" w:color="auto" w:fill="FFFFFF"/>
            <w:tcMar>
              <w:left w:w="108" w:type="dxa"/>
              <w:right w:w="108" w:type="dxa"/>
            </w:tcMar>
            <w:vAlign w:val="center"/>
          </w:tcPr>
          <w:p w14:paraId="6E5A412B">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医疗器械注册人、备案人委托销售的，应当委托符合条件的医疗器械经营企业，并签订委托协议，明确双方的权利和义务。</w:t>
            </w:r>
          </w:p>
        </w:tc>
        <w:tc>
          <w:tcPr>
            <w:tcW w:w="5509" w:type="dxa"/>
            <w:shd w:val="clear" w:color="auto" w:fill="FFFFFF"/>
            <w:tcMar>
              <w:left w:w="108" w:type="dxa"/>
              <w:right w:w="108" w:type="dxa"/>
            </w:tcMar>
            <w:vAlign w:val="center"/>
          </w:tcPr>
          <w:p w14:paraId="77880AC7">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《医疗器械经营监督管理办法》第三十六条。</w:t>
            </w:r>
          </w:p>
        </w:tc>
      </w:tr>
      <w:tr w14:paraId="1801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749" w:type="dxa"/>
            <w:vMerge w:val="continue"/>
            <w:shd w:val="clear" w:color="auto" w:fill="FFFFFF"/>
            <w:tcMar>
              <w:left w:w="108" w:type="dxa"/>
              <w:right w:w="108" w:type="dxa"/>
            </w:tcMar>
            <w:vAlign w:val="center"/>
          </w:tcPr>
          <w:p w14:paraId="367A439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177BC5A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54</w:t>
            </w:r>
          </w:p>
        </w:tc>
        <w:tc>
          <w:tcPr>
            <w:tcW w:w="8497" w:type="dxa"/>
            <w:shd w:val="clear" w:color="auto" w:fill="FFFFFF"/>
            <w:tcMar>
              <w:left w:w="108" w:type="dxa"/>
              <w:right w:w="108" w:type="dxa"/>
            </w:tcMar>
            <w:vAlign w:val="center"/>
          </w:tcPr>
          <w:p w14:paraId="79F2130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医疗器械注册人、备案人应当加强对销售人员的培训和管理，对销售人员以本企业名义从事的医疗器械购销行为承担法律责任。</w:t>
            </w:r>
          </w:p>
        </w:tc>
        <w:tc>
          <w:tcPr>
            <w:tcW w:w="5509" w:type="dxa"/>
            <w:shd w:val="clear" w:color="auto" w:fill="FFFFFF"/>
            <w:tcMar>
              <w:left w:w="108" w:type="dxa"/>
              <w:right w:w="108" w:type="dxa"/>
            </w:tcMar>
            <w:vAlign w:val="center"/>
          </w:tcPr>
          <w:p w14:paraId="4C28A9A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《医疗器械经营监督管理办法》第三十七条。</w:t>
            </w:r>
          </w:p>
        </w:tc>
      </w:tr>
      <w:tr w14:paraId="4B0B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jc w:val="center"/>
        </w:trPr>
        <w:tc>
          <w:tcPr>
            <w:tcW w:w="749" w:type="dxa"/>
            <w:vMerge w:val="continue"/>
            <w:shd w:val="clear" w:color="auto" w:fill="FFFFFF"/>
            <w:tcMar>
              <w:left w:w="108" w:type="dxa"/>
              <w:right w:w="108" w:type="dxa"/>
            </w:tcMar>
            <w:vAlign w:val="center"/>
          </w:tcPr>
          <w:p w14:paraId="6BBBA2E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15260B7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55</w:t>
            </w:r>
          </w:p>
        </w:tc>
        <w:tc>
          <w:tcPr>
            <w:tcW w:w="8497" w:type="dxa"/>
            <w:shd w:val="clear" w:color="auto" w:fill="FFFFFF"/>
            <w:tcMar>
              <w:left w:w="108" w:type="dxa"/>
              <w:right w:w="108" w:type="dxa"/>
            </w:tcMar>
            <w:vAlign w:val="center"/>
          </w:tcPr>
          <w:p w14:paraId="0BBD40E3">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运输、贮存医疗器械，应当符合医疗器械说明书和标签标示的要求；对温度、湿度等环境条件有特殊要求的，应当采取相应措施，保证医疗器械的安全、有效。</w:t>
            </w:r>
          </w:p>
        </w:tc>
        <w:tc>
          <w:tcPr>
            <w:tcW w:w="5509" w:type="dxa"/>
            <w:shd w:val="clear" w:color="auto" w:fill="FFFFFF"/>
            <w:tcMar>
              <w:left w:w="108" w:type="dxa"/>
              <w:right w:w="108" w:type="dxa"/>
            </w:tcMar>
            <w:vAlign w:val="center"/>
          </w:tcPr>
          <w:p w14:paraId="2B9755A9">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《医疗器械监督管理条例》第四十七条。</w:t>
            </w:r>
          </w:p>
        </w:tc>
      </w:tr>
      <w:tr w14:paraId="3E3F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749" w:type="dxa"/>
            <w:vMerge w:val="continue"/>
            <w:shd w:val="clear" w:color="auto" w:fill="FFFFFF"/>
            <w:tcMar>
              <w:left w:w="108" w:type="dxa"/>
              <w:right w:w="108" w:type="dxa"/>
            </w:tcMar>
            <w:vAlign w:val="center"/>
          </w:tcPr>
          <w:p w14:paraId="7D41D63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6BA0544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56</w:t>
            </w:r>
          </w:p>
        </w:tc>
        <w:tc>
          <w:tcPr>
            <w:tcW w:w="8497" w:type="dxa"/>
            <w:shd w:val="clear" w:color="auto" w:fill="FFFFFF"/>
            <w:tcMar>
              <w:left w:w="108" w:type="dxa"/>
              <w:right w:w="108" w:type="dxa"/>
            </w:tcMar>
            <w:vAlign w:val="center"/>
          </w:tcPr>
          <w:p w14:paraId="66EDBBD7">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出口医疗器械的企业应当保证其出口的医疗器械符合进口国（地区）的要求。</w:t>
            </w:r>
          </w:p>
        </w:tc>
        <w:tc>
          <w:tcPr>
            <w:tcW w:w="5509" w:type="dxa"/>
            <w:shd w:val="clear" w:color="auto" w:fill="FFFFFF"/>
            <w:tcMar>
              <w:left w:w="108" w:type="dxa"/>
              <w:right w:w="108" w:type="dxa"/>
            </w:tcMar>
            <w:vAlign w:val="center"/>
          </w:tcPr>
          <w:p w14:paraId="72C5DB54">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《医疗器械监督管理条例》第五十九条。</w:t>
            </w:r>
          </w:p>
        </w:tc>
      </w:tr>
      <w:tr w14:paraId="43A7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749" w:type="dxa"/>
            <w:vMerge w:val="continue"/>
            <w:shd w:val="clear" w:color="auto" w:fill="FFFFFF"/>
            <w:tcMar>
              <w:left w:w="108" w:type="dxa"/>
              <w:right w:w="108" w:type="dxa"/>
            </w:tcMar>
            <w:vAlign w:val="center"/>
          </w:tcPr>
          <w:p w14:paraId="343CFD6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6A898B1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57</w:t>
            </w:r>
          </w:p>
        </w:tc>
        <w:tc>
          <w:tcPr>
            <w:tcW w:w="8497" w:type="dxa"/>
            <w:shd w:val="clear" w:color="auto" w:fill="FFFFFF"/>
            <w:tcMar>
              <w:left w:w="108" w:type="dxa"/>
              <w:right w:w="108" w:type="dxa"/>
            </w:tcMar>
            <w:vAlign w:val="center"/>
          </w:tcPr>
          <w:p w14:paraId="57A82C4C">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广告的内容应当真实合法，以经负责药品监督管理的部门注册或者备案的医疗器械说明书为准，不得含有虚假、夸大、误导性的内容。发布医疗器械广告，应当在发布前由省、自治区、直辖市人民政府确定的广告审查机关对广告内容进行审查，并取得医疗器械广告批准文号；未经审查，不得发布。</w:t>
            </w:r>
          </w:p>
          <w:p w14:paraId="75F4DE43">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省级以上人民政府药品监督管理部门责令暂停生产、进口、经营和使用的医疗器械，在暂停期间不得发布涉及该医疗器械的广告。</w:t>
            </w:r>
          </w:p>
        </w:tc>
        <w:tc>
          <w:tcPr>
            <w:tcW w:w="5509" w:type="dxa"/>
            <w:shd w:val="clear" w:color="auto" w:fill="FFFFFF"/>
            <w:tcMar>
              <w:left w:w="108" w:type="dxa"/>
              <w:right w:w="108" w:type="dxa"/>
            </w:tcMar>
            <w:vAlign w:val="center"/>
          </w:tcPr>
          <w:p w14:paraId="021391F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《医疗器械监督管理条例》第六十条。</w:t>
            </w:r>
          </w:p>
        </w:tc>
      </w:tr>
      <w:tr w14:paraId="6A0D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9" w:type="dxa"/>
            <w:vMerge w:val="continue"/>
            <w:shd w:val="clear" w:color="auto" w:fill="FFFFFF"/>
            <w:tcMar>
              <w:left w:w="108" w:type="dxa"/>
              <w:right w:w="108" w:type="dxa"/>
            </w:tcMar>
            <w:vAlign w:val="center"/>
          </w:tcPr>
          <w:p w14:paraId="48E52C9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7893952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58</w:t>
            </w:r>
          </w:p>
        </w:tc>
        <w:tc>
          <w:tcPr>
            <w:tcW w:w="8497" w:type="dxa"/>
            <w:shd w:val="clear" w:color="auto" w:fill="FFFFFF"/>
            <w:tcMar>
              <w:left w:w="108" w:type="dxa"/>
              <w:right w:w="108" w:type="dxa"/>
            </w:tcMar>
            <w:vAlign w:val="center"/>
          </w:tcPr>
          <w:p w14:paraId="6F0D29FB">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医疗器械注册人、备案人应当建立医疗器械不良事件监测体系，配备与其产品相适应的不良事件监测机构和人员，对其产品主动开展不良事件监测，并按照国务院药品监督管理部</w:t>
            </w:r>
            <w:r>
              <w:rPr>
                <w:rFonts w:hint="eastAsia" w:ascii="方正仿宋_GBK" w:hAnsi="方正仿宋_GBK" w:eastAsia="方正仿宋_GBK" w:cs="方正仿宋_GBK"/>
                <w:spacing w:val="-6"/>
                <w:sz w:val="18"/>
                <w:szCs w:val="18"/>
              </w:rPr>
              <w:t>门的规定，向医疗器械不良事件监测技术机构报告调查、分析、评价、产品风险控制等情况。</w:t>
            </w:r>
          </w:p>
        </w:tc>
        <w:tc>
          <w:tcPr>
            <w:tcW w:w="5509" w:type="dxa"/>
            <w:shd w:val="clear" w:color="auto" w:fill="FFFFFF"/>
            <w:tcMar>
              <w:left w:w="108" w:type="dxa"/>
              <w:right w:w="108" w:type="dxa"/>
            </w:tcMar>
            <w:vAlign w:val="center"/>
          </w:tcPr>
          <w:p w14:paraId="0737B725">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《医疗器械监督管理条例》第六十二条。</w:t>
            </w:r>
          </w:p>
        </w:tc>
      </w:tr>
      <w:tr w14:paraId="39E2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jc w:val="center"/>
        </w:trPr>
        <w:tc>
          <w:tcPr>
            <w:tcW w:w="749" w:type="dxa"/>
            <w:vMerge w:val="continue"/>
            <w:shd w:val="clear" w:color="auto" w:fill="FFFFFF"/>
            <w:tcMar>
              <w:left w:w="108" w:type="dxa"/>
              <w:right w:w="108" w:type="dxa"/>
            </w:tcMar>
            <w:vAlign w:val="center"/>
          </w:tcPr>
          <w:p w14:paraId="3F558CD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6A5ED0C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59</w:t>
            </w:r>
          </w:p>
        </w:tc>
        <w:tc>
          <w:tcPr>
            <w:tcW w:w="8497" w:type="dxa"/>
            <w:shd w:val="clear" w:color="auto" w:fill="FFFFFF"/>
            <w:tcMar>
              <w:left w:w="108" w:type="dxa"/>
              <w:right w:w="108" w:type="dxa"/>
            </w:tcMar>
            <w:vAlign w:val="center"/>
          </w:tcPr>
          <w:p w14:paraId="6D07979A">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医疗器械注册人、备案人、生产经营企业、使用单位应当对医疗器械不良事件监测技术机构、负责药品监督管理的部门、卫生主管部门开展的医疗器械不良事件调查予以配合。</w:t>
            </w:r>
          </w:p>
        </w:tc>
        <w:tc>
          <w:tcPr>
            <w:tcW w:w="5509" w:type="dxa"/>
            <w:shd w:val="clear" w:color="auto" w:fill="FFFFFF"/>
            <w:tcMar>
              <w:left w:w="108" w:type="dxa"/>
              <w:right w:w="108" w:type="dxa"/>
            </w:tcMar>
            <w:vAlign w:val="center"/>
          </w:tcPr>
          <w:p w14:paraId="1312E1C8">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《医疗器械监督管理条例》第六十五条。</w:t>
            </w:r>
          </w:p>
        </w:tc>
      </w:tr>
      <w:tr w14:paraId="1437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0" w:hRule="atLeast"/>
          <w:jc w:val="center"/>
        </w:trPr>
        <w:tc>
          <w:tcPr>
            <w:tcW w:w="749" w:type="dxa"/>
            <w:vMerge w:val="restart"/>
            <w:shd w:val="clear" w:color="auto" w:fill="FFFFFF"/>
            <w:tcMar>
              <w:left w:w="108" w:type="dxa"/>
              <w:right w:w="108" w:type="dxa"/>
            </w:tcMar>
            <w:vAlign w:val="center"/>
          </w:tcPr>
          <w:p w14:paraId="4ADC78F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不良事件监测和产品再评价</w:t>
            </w:r>
          </w:p>
        </w:tc>
        <w:tc>
          <w:tcPr>
            <w:tcW w:w="742" w:type="dxa"/>
            <w:shd w:val="clear" w:color="auto" w:fill="FFFFFF"/>
            <w:tcMar>
              <w:left w:w="108" w:type="dxa"/>
              <w:right w:w="108" w:type="dxa"/>
            </w:tcMar>
            <w:vAlign w:val="center"/>
          </w:tcPr>
          <w:p w14:paraId="3276C76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60</w:t>
            </w:r>
          </w:p>
        </w:tc>
        <w:tc>
          <w:tcPr>
            <w:tcW w:w="8497" w:type="dxa"/>
            <w:shd w:val="clear" w:color="auto" w:fill="FFFFFF"/>
            <w:tcMar>
              <w:left w:w="108" w:type="dxa"/>
              <w:right w:w="108" w:type="dxa"/>
            </w:tcMar>
            <w:vAlign w:val="center"/>
          </w:tcPr>
          <w:p w14:paraId="5C106C7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有下列情形之一的，医疗器械注册人、备案人应当主动开展已上市医疗器械再评价：</w:t>
            </w:r>
          </w:p>
          <w:p w14:paraId="2B1E8E1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（一）根据科学研究的发展，对医疗器械的安全、有效有认识上的改变；</w:t>
            </w:r>
          </w:p>
          <w:p w14:paraId="7578149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（二）医疗器械不良事件监测、评估结果表明医疗器械可能存在缺陷；</w:t>
            </w:r>
          </w:p>
          <w:p w14:paraId="47CD683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（三）国务院药品监督管理部门规定的其他情形。</w:t>
            </w:r>
          </w:p>
          <w:p w14:paraId="4F62DFC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应当根据再评价结果，采取相应控制措施，对已上市医疗器械进行改进，并按照规定进行注册变更或者备案变更。再评价结果表明已上市医疗器械不能保证安全、有效的，医疗器械注册人、备案人应当主动申请注销医疗器械注册证或者取消备案；医疗器械注册人、备案人未申请注销医疗器械注册证或者取消备案的，由负责药品监督管理的部门注销医疗器械注册证或者取消备案。</w:t>
            </w:r>
          </w:p>
        </w:tc>
        <w:tc>
          <w:tcPr>
            <w:tcW w:w="5509" w:type="dxa"/>
            <w:shd w:val="clear" w:color="auto" w:fill="FFFFFF"/>
            <w:tcMar>
              <w:left w:w="108" w:type="dxa"/>
              <w:right w:w="108" w:type="dxa"/>
            </w:tcMar>
            <w:vAlign w:val="center"/>
          </w:tcPr>
          <w:p w14:paraId="3E9552A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《医疗器械监督管理条例》第六十六条。</w:t>
            </w:r>
          </w:p>
        </w:tc>
      </w:tr>
      <w:tr w14:paraId="6AF0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6" w:hRule="atLeast"/>
          <w:jc w:val="center"/>
        </w:trPr>
        <w:tc>
          <w:tcPr>
            <w:tcW w:w="749" w:type="dxa"/>
            <w:vMerge w:val="continue"/>
            <w:shd w:val="clear" w:color="auto" w:fill="FFFFFF"/>
            <w:tcMar>
              <w:left w:w="108" w:type="dxa"/>
              <w:right w:w="108" w:type="dxa"/>
            </w:tcMar>
            <w:vAlign w:val="center"/>
          </w:tcPr>
          <w:p w14:paraId="737ABEE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07AC9C9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61</w:t>
            </w:r>
          </w:p>
        </w:tc>
        <w:tc>
          <w:tcPr>
            <w:tcW w:w="8497" w:type="dxa"/>
            <w:shd w:val="clear" w:color="auto" w:fill="FFFFFF"/>
            <w:tcMar>
              <w:left w:w="108" w:type="dxa"/>
              <w:right w:w="108" w:type="dxa"/>
            </w:tcMar>
            <w:vAlign w:val="center"/>
          </w:tcPr>
          <w:p w14:paraId="0607AC01">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医疗器械上市许可持有人（即医疗器械注册人和备案人，以下简称持有人），应当具有保证医疗器械安全有效的质量管理能力和相应责任能力，建立医疗器械不良事件监测体系，向医疗器械不良事件监测技术机构（以下简称监测机构）直接报告医疗器械不良事件。由持有人授权销售的经营企业、医疗器械使用单位应当向持有人和监测机构报告医疗器械不良事件。</w:t>
            </w:r>
          </w:p>
          <w:p w14:paraId="33292A33">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持有人应当对发现的不良事件进行评价，根据评价结果完善产品质量，并向监测机构报告评价结果和完善质量的措施；需要原注册机关审批的，应当按规定提交申请。</w:t>
            </w:r>
          </w:p>
          <w:p w14:paraId="653F43C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境外持有人指定的代理人应当承担境内销售的进口医疗器械的不良事件监测工作，配合境外持有人履行再评价义务。</w:t>
            </w:r>
          </w:p>
        </w:tc>
        <w:tc>
          <w:tcPr>
            <w:tcW w:w="5509" w:type="dxa"/>
            <w:shd w:val="clear" w:color="auto" w:fill="FFFFFF"/>
            <w:tcMar>
              <w:left w:w="108" w:type="dxa"/>
              <w:right w:w="108" w:type="dxa"/>
            </w:tcMar>
            <w:vAlign w:val="center"/>
          </w:tcPr>
          <w:p w14:paraId="5BBFAB5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《医疗器械不良事件监测和再评价管理办法》第三条。</w:t>
            </w:r>
          </w:p>
        </w:tc>
      </w:tr>
      <w:tr w14:paraId="39F2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9" w:type="dxa"/>
            <w:vMerge w:val="restart"/>
            <w:shd w:val="clear" w:color="auto" w:fill="FFFFFF"/>
            <w:tcMar>
              <w:left w:w="108" w:type="dxa"/>
              <w:right w:w="108" w:type="dxa"/>
            </w:tcMar>
            <w:vAlign w:val="center"/>
          </w:tcPr>
          <w:p w14:paraId="090E335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不良事件监测和产品再评价</w:t>
            </w:r>
          </w:p>
        </w:tc>
        <w:tc>
          <w:tcPr>
            <w:tcW w:w="742" w:type="dxa"/>
            <w:shd w:val="clear" w:color="auto" w:fill="FFFFFF"/>
            <w:tcMar>
              <w:left w:w="108" w:type="dxa"/>
              <w:right w:w="108" w:type="dxa"/>
            </w:tcMar>
            <w:vAlign w:val="center"/>
          </w:tcPr>
          <w:p w14:paraId="2DD1851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62</w:t>
            </w:r>
          </w:p>
        </w:tc>
        <w:tc>
          <w:tcPr>
            <w:tcW w:w="8497" w:type="dxa"/>
            <w:shd w:val="clear" w:color="auto" w:fill="FFFFFF"/>
            <w:tcMar>
              <w:left w:w="108" w:type="dxa"/>
              <w:right w:w="108" w:type="dxa"/>
            </w:tcMar>
            <w:vAlign w:val="center"/>
          </w:tcPr>
          <w:p w14:paraId="490FA8B0">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持有人应当对其上市的医疗器械进行持续研究，评估风险情况，承担医疗器械不良事件监测的责任，根据分析评价结果采取有效控制措施，并履行下列主要义务：</w:t>
            </w:r>
          </w:p>
          <w:p w14:paraId="7D9102E9">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（一）建立包括医疗器械不良事件监测和再评价工作制度的医疗器械质量管理体系；</w:t>
            </w:r>
          </w:p>
          <w:p w14:paraId="780E6DB0">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（二）配备与其产品相适应的机构和人员从事医疗器械不良事件监测相关工作；</w:t>
            </w:r>
          </w:p>
          <w:p w14:paraId="648A56EE">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pacing w:val="-4"/>
                <w:sz w:val="18"/>
                <w:szCs w:val="18"/>
                <w:lang w:eastAsia="zh-CN"/>
              </w:rPr>
            </w:pPr>
            <w:r>
              <w:rPr>
                <w:rFonts w:hint="eastAsia" w:ascii="方正仿宋_GBK" w:hAnsi="方正仿宋_GBK" w:eastAsia="方正仿宋_GBK" w:cs="方正仿宋_GBK"/>
                <w:spacing w:val="-4"/>
                <w:sz w:val="18"/>
                <w:szCs w:val="18"/>
                <w:lang w:eastAsia="zh-CN"/>
              </w:rPr>
              <w:t>（三）主动收集并按照本办法规定的时限要求及时向监测机构如实报告医疗器械不良事件；</w:t>
            </w:r>
          </w:p>
          <w:p w14:paraId="2ED10335">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（四）对发生的医疗器械不良事件及时开展调查、分析、评价，采取措施控制风险，及时发布风险信息；</w:t>
            </w:r>
          </w:p>
          <w:p w14:paraId="109952F8">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（五）对上市医疗器械安全性进行持续研究，按要求撰写定期风险评价报告；</w:t>
            </w:r>
          </w:p>
          <w:p w14:paraId="1CBA8AD7">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（六）主动开展医疗器械再评价；</w:t>
            </w:r>
          </w:p>
          <w:p w14:paraId="3F41274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（七）配合药品监督管理部门和监测机构组织开展的不良事件调查。</w:t>
            </w:r>
          </w:p>
        </w:tc>
        <w:tc>
          <w:tcPr>
            <w:tcW w:w="5509" w:type="dxa"/>
            <w:shd w:val="clear" w:color="auto" w:fill="FFFFFF"/>
            <w:tcMar>
              <w:left w:w="108" w:type="dxa"/>
              <w:right w:w="108" w:type="dxa"/>
            </w:tcMar>
            <w:vAlign w:val="center"/>
          </w:tcPr>
          <w:p w14:paraId="6E81184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《医疗器械不良事件监测和再评价管理办法》第十四条。</w:t>
            </w:r>
          </w:p>
        </w:tc>
      </w:tr>
      <w:tr w14:paraId="4B45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749" w:type="dxa"/>
            <w:vMerge w:val="continue"/>
            <w:shd w:val="clear" w:color="auto" w:fill="FFFFFF"/>
            <w:tcMar>
              <w:left w:w="108" w:type="dxa"/>
              <w:right w:w="108" w:type="dxa"/>
            </w:tcMar>
            <w:vAlign w:val="center"/>
          </w:tcPr>
          <w:p w14:paraId="5E9CCD0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5139A5F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63</w:t>
            </w:r>
          </w:p>
        </w:tc>
        <w:tc>
          <w:tcPr>
            <w:tcW w:w="8497" w:type="dxa"/>
            <w:shd w:val="clear" w:color="auto" w:fill="FFFFFF"/>
            <w:tcMar>
              <w:left w:w="108" w:type="dxa"/>
              <w:right w:w="108" w:type="dxa"/>
            </w:tcMar>
            <w:vAlign w:val="center"/>
          </w:tcPr>
          <w:p w14:paraId="23DA27A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持有人应当注册为国家医疗器械不良事件监测信息系统用户，主动维护其用户信息，报告医疗器械不良事件。持有人应当持续跟踪和处理监测信息；产品注册信息发生变化的，应当在系统中立即更新。</w:t>
            </w:r>
          </w:p>
        </w:tc>
        <w:tc>
          <w:tcPr>
            <w:tcW w:w="5509" w:type="dxa"/>
            <w:shd w:val="clear" w:color="auto" w:fill="FFFFFF"/>
            <w:tcMar>
              <w:left w:w="108" w:type="dxa"/>
              <w:right w:w="108" w:type="dxa"/>
            </w:tcMar>
            <w:vAlign w:val="center"/>
          </w:tcPr>
          <w:p w14:paraId="136F8DA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《医疗器械不良事件监测和再评价管理办法》第十九条第一款。</w:t>
            </w:r>
          </w:p>
        </w:tc>
      </w:tr>
      <w:tr w14:paraId="42AF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4" w:hRule="atLeast"/>
          <w:jc w:val="center"/>
        </w:trPr>
        <w:tc>
          <w:tcPr>
            <w:tcW w:w="749" w:type="dxa"/>
            <w:vMerge w:val="continue"/>
            <w:shd w:val="clear" w:color="auto" w:fill="FFFFFF"/>
            <w:tcMar>
              <w:left w:w="108" w:type="dxa"/>
              <w:right w:w="108" w:type="dxa"/>
            </w:tcMar>
            <w:vAlign w:val="center"/>
          </w:tcPr>
          <w:p w14:paraId="2983A2B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2C91652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64</w:t>
            </w:r>
          </w:p>
        </w:tc>
        <w:tc>
          <w:tcPr>
            <w:tcW w:w="8497" w:type="dxa"/>
            <w:shd w:val="clear" w:color="auto" w:fill="FFFFFF"/>
            <w:tcMar>
              <w:left w:w="108" w:type="dxa"/>
              <w:right w:w="108" w:type="dxa"/>
            </w:tcMar>
            <w:vAlign w:val="center"/>
          </w:tcPr>
          <w:p w14:paraId="3118E762">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持有人应当公布电话、通讯地址、邮箱、传真等联系方式，指定联系人，主动收集来自医疗器械经营企业、使用单位、使用者等的不良事件信息；对发现或者获知的可疑医疗器械不良事件，持有人应当直接通过国家医疗器械不良事件监测信息系统进行医疗器械不良事件报告与评价，并上报群体医疗器械不良事件调查报告以及定期风险评价报告等。</w:t>
            </w:r>
          </w:p>
        </w:tc>
        <w:tc>
          <w:tcPr>
            <w:tcW w:w="5509" w:type="dxa"/>
            <w:shd w:val="clear" w:color="auto" w:fill="FFFFFF"/>
            <w:tcMar>
              <w:left w:w="108" w:type="dxa"/>
              <w:right w:w="108" w:type="dxa"/>
            </w:tcMar>
            <w:vAlign w:val="center"/>
          </w:tcPr>
          <w:p w14:paraId="0E76981F">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《医疗器械不良事件监测和再评价管理办法》第二十条第一款。</w:t>
            </w:r>
          </w:p>
        </w:tc>
      </w:tr>
      <w:tr w14:paraId="0E98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749" w:type="dxa"/>
            <w:vMerge w:val="continue"/>
            <w:shd w:val="clear" w:color="auto" w:fill="FFFFFF"/>
            <w:tcMar>
              <w:left w:w="108" w:type="dxa"/>
              <w:right w:w="108" w:type="dxa"/>
            </w:tcMar>
            <w:vAlign w:val="center"/>
          </w:tcPr>
          <w:p w14:paraId="4F17613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3E730F0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65</w:t>
            </w:r>
          </w:p>
        </w:tc>
        <w:tc>
          <w:tcPr>
            <w:tcW w:w="8497" w:type="dxa"/>
            <w:shd w:val="clear" w:color="auto" w:fill="FFFFFF"/>
            <w:tcMar>
              <w:left w:w="108" w:type="dxa"/>
              <w:right w:w="108" w:type="dxa"/>
            </w:tcMar>
            <w:vAlign w:val="center"/>
          </w:tcPr>
          <w:p w14:paraId="388770A6">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持有人应当对收集和获知的医疗器械不良事件监测信息进行分析、评价，主动开展医疗器</w:t>
            </w:r>
            <w:r>
              <w:rPr>
                <w:rFonts w:hint="eastAsia" w:ascii="方正仿宋_GBK" w:hAnsi="方正仿宋_GBK" w:eastAsia="方正仿宋_GBK" w:cs="方正仿宋_GBK"/>
                <w:spacing w:val="-2"/>
                <w:sz w:val="18"/>
                <w:szCs w:val="18"/>
                <w:lang w:eastAsia="zh-CN"/>
              </w:rPr>
              <w:t>械安全性研究。对附条件批准的医疗器械，持有人还应当按照风险管控计划开展相关工作。</w:t>
            </w:r>
          </w:p>
        </w:tc>
        <w:tc>
          <w:tcPr>
            <w:tcW w:w="5509" w:type="dxa"/>
            <w:shd w:val="clear" w:color="auto" w:fill="FFFFFF"/>
            <w:tcMar>
              <w:left w:w="108" w:type="dxa"/>
              <w:right w:w="108" w:type="dxa"/>
            </w:tcMar>
            <w:vAlign w:val="center"/>
          </w:tcPr>
          <w:p w14:paraId="6F34A23D">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《医疗器械不良事件监测和再评价管理办法》第二十一条。</w:t>
            </w:r>
          </w:p>
        </w:tc>
      </w:tr>
      <w:tr w14:paraId="13D5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749" w:type="dxa"/>
            <w:vMerge w:val="restart"/>
            <w:shd w:val="clear" w:color="auto" w:fill="FFFFFF"/>
            <w:tcMar>
              <w:left w:w="108" w:type="dxa"/>
              <w:right w:w="108" w:type="dxa"/>
            </w:tcMar>
            <w:vAlign w:val="center"/>
          </w:tcPr>
          <w:p w14:paraId="50515E9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不良事件监测和产品再评价</w:t>
            </w:r>
          </w:p>
        </w:tc>
        <w:tc>
          <w:tcPr>
            <w:tcW w:w="742" w:type="dxa"/>
            <w:shd w:val="clear" w:color="auto" w:fill="FFFFFF"/>
            <w:tcMar>
              <w:left w:w="108" w:type="dxa"/>
              <w:right w:w="108" w:type="dxa"/>
            </w:tcMar>
            <w:vAlign w:val="center"/>
          </w:tcPr>
          <w:p w14:paraId="06D107B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66</w:t>
            </w:r>
          </w:p>
        </w:tc>
        <w:tc>
          <w:tcPr>
            <w:tcW w:w="8497" w:type="dxa"/>
            <w:shd w:val="clear" w:color="auto" w:fill="FFFFFF"/>
            <w:tcMar>
              <w:left w:w="108" w:type="dxa"/>
              <w:right w:w="108" w:type="dxa"/>
            </w:tcMar>
            <w:vAlign w:val="center"/>
          </w:tcPr>
          <w:p w14:paraId="7E825A72">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持有人应当建立并保存医疗器械不良事件监测记录。记录应当保存至医疗器械有效期后2年；无有效期的，保存期限不得少于5年。植入性医疗器械的监测记录应当永久保存，医疗机构应当按照病例相关规定保存。</w:t>
            </w:r>
          </w:p>
        </w:tc>
        <w:tc>
          <w:tcPr>
            <w:tcW w:w="5509" w:type="dxa"/>
            <w:shd w:val="clear" w:color="auto" w:fill="FFFFFF"/>
            <w:tcMar>
              <w:left w:w="108" w:type="dxa"/>
              <w:right w:w="108" w:type="dxa"/>
            </w:tcMar>
            <w:vAlign w:val="center"/>
          </w:tcPr>
          <w:p w14:paraId="4EEB2E13">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《医疗器械不良事件监测和再评价管理办法》第二十二条。</w:t>
            </w:r>
          </w:p>
        </w:tc>
      </w:tr>
      <w:tr w14:paraId="0A3A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749" w:type="dxa"/>
            <w:vMerge w:val="continue"/>
            <w:shd w:val="clear" w:color="auto" w:fill="FFFFFF"/>
            <w:tcMar>
              <w:left w:w="108" w:type="dxa"/>
              <w:right w:w="108" w:type="dxa"/>
            </w:tcMar>
            <w:vAlign w:val="center"/>
          </w:tcPr>
          <w:p w14:paraId="577C8EE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205C990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67</w:t>
            </w:r>
          </w:p>
        </w:tc>
        <w:tc>
          <w:tcPr>
            <w:tcW w:w="8497" w:type="dxa"/>
            <w:shd w:val="clear" w:color="auto" w:fill="FFFFFF"/>
            <w:tcMar>
              <w:left w:w="108" w:type="dxa"/>
              <w:right w:w="108" w:type="dxa"/>
            </w:tcMar>
            <w:vAlign w:val="center"/>
          </w:tcPr>
          <w:p w14:paraId="710B8166">
            <w:pPr>
              <w:pStyle w:val="36"/>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持有人发现或者获知可疑医疗器械不良事件的，应当立即调查原因，导致死亡的应当在7日内报告；导致严重伤害、可能导致严重伤害或者死亡的应当在20日内报告。</w:t>
            </w:r>
          </w:p>
        </w:tc>
        <w:tc>
          <w:tcPr>
            <w:tcW w:w="5509" w:type="dxa"/>
            <w:shd w:val="clear" w:color="auto" w:fill="FFFFFF"/>
            <w:tcMar>
              <w:left w:w="108" w:type="dxa"/>
              <w:right w:w="108" w:type="dxa"/>
            </w:tcMar>
            <w:vAlign w:val="center"/>
          </w:tcPr>
          <w:p w14:paraId="35E6B03B">
            <w:pPr>
              <w:pStyle w:val="36"/>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《医疗器械不良事件监测和再评价管理办法》第二十五条第一款。</w:t>
            </w:r>
          </w:p>
        </w:tc>
      </w:tr>
      <w:tr w14:paraId="2A69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749" w:type="dxa"/>
            <w:vMerge w:val="continue"/>
            <w:shd w:val="clear" w:color="auto" w:fill="FFFFFF"/>
            <w:tcMar>
              <w:left w:w="108" w:type="dxa"/>
              <w:right w:w="108" w:type="dxa"/>
            </w:tcMar>
            <w:vAlign w:val="center"/>
          </w:tcPr>
          <w:p w14:paraId="398866F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3C275EF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68</w:t>
            </w:r>
          </w:p>
        </w:tc>
        <w:tc>
          <w:tcPr>
            <w:tcW w:w="8497" w:type="dxa"/>
            <w:shd w:val="clear" w:color="auto" w:fill="FFFFFF"/>
            <w:tcMar>
              <w:left w:w="108" w:type="dxa"/>
              <w:right w:w="108" w:type="dxa"/>
            </w:tcMar>
            <w:vAlign w:val="center"/>
          </w:tcPr>
          <w:p w14:paraId="4A2C0E52">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持有人在报告医疗器械不良事件后或者通过国家医疗器械不良事件监测信息系统获知相关医疗器械不良事件后，应当按要求开展后续调查、分析和评价，导致死亡的事件应当在30日内，导致严重伤害、可能导致严重伤害或者死亡的事件应当在45日内向持有人所在地省</w:t>
            </w:r>
            <w:r>
              <w:rPr>
                <w:rFonts w:hint="eastAsia" w:ascii="方正仿宋_GBK" w:hAnsi="方正仿宋_GBK" w:eastAsia="方正仿宋_GBK" w:cs="方正仿宋_GBK"/>
                <w:spacing w:val="-4"/>
                <w:sz w:val="18"/>
                <w:szCs w:val="18"/>
              </w:rPr>
              <w:t>级监测机构报告评价结果。对于事件情况和评价结果有新的发现或者认知的，应当补充报告。</w:t>
            </w:r>
          </w:p>
        </w:tc>
        <w:tc>
          <w:tcPr>
            <w:tcW w:w="5509" w:type="dxa"/>
            <w:shd w:val="clear" w:color="auto" w:fill="FFFFFF"/>
            <w:tcMar>
              <w:left w:w="108" w:type="dxa"/>
              <w:right w:w="108" w:type="dxa"/>
            </w:tcMar>
            <w:vAlign w:val="center"/>
          </w:tcPr>
          <w:p w14:paraId="2D35FC8B">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《医疗器械不良事件监测和再评价管理办法》第二十九条。</w:t>
            </w:r>
          </w:p>
        </w:tc>
      </w:tr>
      <w:tr w14:paraId="46AA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49" w:type="dxa"/>
            <w:vMerge w:val="continue"/>
            <w:shd w:val="clear" w:color="auto" w:fill="FFFFFF"/>
            <w:tcMar>
              <w:left w:w="108" w:type="dxa"/>
              <w:right w:w="108" w:type="dxa"/>
            </w:tcMar>
            <w:vAlign w:val="center"/>
          </w:tcPr>
          <w:p w14:paraId="7EBB46D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55B5625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69</w:t>
            </w:r>
          </w:p>
        </w:tc>
        <w:tc>
          <w:tcPr>
            <w:tcW w:w="8497" w:type="dxa"/>
            <w:shd w:val="clear" w:color="auto" w:fill="FFFFFF"/>
            <w:tcMar>
              <w:left w:w="108" w:type="dxa"/>
              <w:right w:w="108" w:type="dxa"/>
            </w:tcMar>
            <w:vAlign w:val="center"/>
          </w:tcPr>
          <w:p w14:paraId="563AF051">
            <w:pPr>
              <w:pStyle w:val="36"/>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持有人发现或者获知群体医疗器械不良事件后，应当在12小时内通过电话或者传真等方式报告不良事件发生地省、自治区、直辖市药品监督管理部门和卫生行政部门，必要时可以越级报告，同时通过国家医疗器械不良事件监测信息系统报告群体医疗器械不良事件基本信息，对每一事件还应当在24小时内按个例事件报告。</w:t>
            </w:r>
          </w:p>
        </w:tc>
        <w:tc>
          <w:tcPr>
            <w:tcW w:w="5509" w:type="dxa"/>
            <w:shd w:val="clear" w:color="auto" w:fill="FFFFFF"/>
            <w:tcMar>
              <w:left w:w="108" w:type="dxa"/>
              <w:right w:w="108" w:type="dxa"/>
            </w:tcMar>
            <w:vAlign w:val="center"/>
          </w:tcPr>
          <w:p w14:paraId="7BEA6F5F">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《医疗器械不良事件监测和再评价管理办法》第三十一条第一款。</w:t>
            </w:r>
          </w:p>
        </w:tc>
      </w:tr>
      <w:tr w14:paraId="360B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7" w:hRule="atLeast"/>
          <w:jc w:val="center"/>
        </w:trPr>
        <w:tc>
          <w:tcPr>
            <w:tcW w:w="749" w:type="dxa"/>
            <w:vMerge w:val="continue"/>
            <w:shd w:val="clear" w:color="auto" w:fill="FFFFFF"/>
            <w:tcMar>
              <w:left w:w="108" w:type="dxa"/>
              <w:right w:w="108" w:type="dxa"/>
            </w:tcMar>
            <w:vAlign w:val="center"/>
          </w:tcPr>
          <w:p w14:paraId="193E05A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332D871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70</w:t>
            </w:r>
          </w:p>
        </w:tc>
        <w:tc>
          <w:tcPr>
            <w:tcW w:w="8497" w:type="dxa"/>
            <w:shd w:val="clear" w:color="auto" w:fill="FFFFFF"/>
            <w:tcMar>
              <w:left w:w="108" w:type="dxa"/>
              <w:right w:w="108" w:type="dxa"/>
            </w:tcMar>
            <w:vAlign w:val="center"/>
          </w:tcPr>
          <w:p w14:paraId="787F0B95">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持有人发现或者获知其产品的群体医疗器械不良事件后，应当立即暂停生产、销售，通知使用单位停止使用相关医疗器械，同时开展调查及生产质量管理体系自查，并于7日内向所在地及不良事件发生地省、自治区、直辖市药品监督管理部门和监测机构报告。</w:t>
            </w:r>
          </w:p>
          <w:p w14:paraId="48DAE534">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调查应当包括产品质量状况、伤害与产品的关联性、使用环节操作和流通过程的合规性等。自查应当包括采购、生产管理、质量控制、同型号同批次产品追踪等。</w:t>
            </w:r>
          </w:p>
          <w:p w14:paraId="578BCABB">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pacing w:val="-4"/>
                <w:sz w:val="18"/>
                <w:szCs w:val="18"/>
              </w:rPr>
            </w:pPr>
            <w:r>
              <w:rPr>
                <w:rFonts w:hint="eastAsia" w:ascii="方正仿宋_GBK" w:hAnsi="方正仿宋_GBK" w:eastAsia="方正仿宋_GBK" w:cs="方正仿宋_GBK"/>
                <w:spacing w:val="-4"/>
                <w:sz w:val="18"/>
                <w:szCs w:val="18"/>
              </w:rPr>
              <w:t>持有人应当分析事件发生的原因，及时发布风险信息，将自查情况和所采取的控制措施报所在地及不良事件发生地省、自治区、直辖市药品监督管理部门，必要时应当召回相关医疗器械。</w:t>
            </w:r>
          </w:p>
        </w:tc>
        <w:tc>
          <w:tcPr>
            <w:tcW w:w="5509" w:type="dxa"/>
            <w:shd w:val="clear" w:color="auto" w:fill="FFFFFF"/>
            <w:tcMar>
              <w:left w:w="108" w:type="dxa"/>
              <w:right w:w="108" w:type="dxa"/>
            </w:tcMar>
            <w:vAlign w:val="center"/>
          </w:tcPr>
          <w:p w14:paraId="750A5349">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《医疗器械不良事件监测和再评价管理办法》第三十二条。</w:t>
            </w:r>
          </w:p>
        </w:tc>
      </w:tr>
      <w:tr w14:paraId="035B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749" w:type="dxa"/>
            <w:vMerge w:val="restart"/>
            <w:shd w:val="clear" w:color="auto" w:fill="FFFFFF"/>
            <w:tcMar>
              <w:left w:w="108" w:type="dxa"/>
              <w:right w:w="108" w:type="dxa"/>
            </w:tcMar>
            <w:vAlign w:val="center"/>
          </w:tcPr>
          <w:p w14:paraId="347CB7C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不良事件监测和产品再评价</w:t>
            </w:r>
          </w:p>
        </w:tc>
        <w:tc>
          <w:tcPr>
            <w:tcW w:w="742" w:type="dxa"/>
            <w:shd w:val="clear" w:color="auto" w:fill="FFFFFF"/>
            <w:tcMar>
              <w:left w:w="108" w:type="dxa"/>
              <w:right w:w="108" w:type="dxa"/>
            </w:tcMar>
            <w:vAlign w:val="center"/>
          </w:tcPr>
          <w:p w14:paraId="433782B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71</w:t>
            </w:r>
          </w:p>
        </w:tc>
        <w:tc>
          <w:tcPr>
            <w:tcW w:w="8497" w:type="dxa"/>
            <w:shd w:val="clear" w:color="auto" w:fill="FFFFFF"/>
            <w:tcMar>
              <w:left w:w="108" w:type="dxa"/>
              <w:right w:w="108" w:type="dxa"/>
            </w:tcMar>
            <w:vAlign w:val="center"/>
          </w:tcPr>
          <w:p w14:paraId="5917352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持有人应当对上市医疗器械安全性进行持续研究，对产品的不良事件报告、监测资料和国内外风险信息进行汇总、分析，评价该产品的风险与受益，记录采取的风险控制措施，撰写上市后定期风险评价报告。</w:t>
            </w:r>
          </w:p>
        </w:tc>
        <w:tc>
          <w:tcPr>
            <w:tcW w:w="5509" w:type="dxa"/>
            <w:shd w:val="clear" w:color="auto" w:fill="FFFFFF"/>
            <w:tcMar>
              <w:left w:w="108" w:type="dxa"/>
              <w:right w:w="108" w:type="dxa"/>
            </w:tcMar>
            <w:vAlign w:val="center"/>
          </w:tcPr>
          <w:p w14:paraId="4EFAD29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《医疗器械不良事件监测和再评价管理办法》第三十八条。</w:t>
            </w:r>
          </w:p>
        </w:tc>
      </w:tr>
      <w:tr w14:paraId="1470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9" w:hRule="atLeast"/>
          <w:jc w:val="center"/>
        </w:trPr>
        <w:tc>
          <w:tcPr>
            <w:tcW w:w="749" w:type="dxa"/>
            <w:vMerge w:val="continue"/>
            <w:shd w:val="clear" w:color="auto" w:fill="FFFFFF"/>
            <w:tcMar>
              <w:left w:w="108" w:type="dxa"/>
              <w:right w:w="108" w:type="dxa"/>
            </w:tcMar>
            <w:vAlign w:val="center"/>
          </w:tcPr>
          <w:p w14:paraId="08D0204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0612BCE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72</w:t>
            </w:r>
          </w:p>
        </w:tc>
        <w:tc>
          <w:tcPr>
            <w:tcW w:w="8497" w:type="dxa"/>
            <w:shd w:val="clear" w:color="auto" w:fill="FFFFFF"/>
            <w:tcMar>
              <w:left w:w="108" w:type="dxa"/>
              <w:right w:w="108" w:type="dxa"/>
            </w:tcMar>
            <w:vAlign w:val="center"/>
          </w:tcPr>
          <w:p w14:paraId="18B41328">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持有人应当自产品首次批准注册或者备案之日起，每满一年后的60日内完成上年度产品上市后定期风险评价报告。其中，经国家药品监督管理局注册的，应当提交至国家监测机构；经省、自治区、直辖市药品监督管理部门注册的，应当提交至所在地省级监测机构。第一类医疗器械的定期风险评价报告由持有人留存备查。</w:t>
            </w:r>
          </w:p>
          <w:p w14:paraId="77D76338">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获得延续注册的医疗器械，应当在下一次延续注册申请时完成本注册周期的定期风险评价报告，并由持有人留存备查。</w:t>
            </w:r>
          </w:p>
        </w:tc>
        <w:tc>
          <w:tcPr>
            <w:tcW w:w="5509" w:type="dxa"/>
            <w:shd w:val="clear" w:color="auto" w:fill="FFFFFF"/>
            <w:tcMar>
              <w:left w:w="108" w:type="dxa"/>
              <w:right w:w="108" w:type="dxa"/>
            </w:tcMar>
            <w:vAlign w:val="center"/>
          </w:tcPr>
          <w:p w14:paraId="541A8766">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《医疗器械不良事件监测和再评价管理办法》第三十九条。</w:t>
            </w:r>
          </w:p>
        </w:tc>
      </w:tr>
      <w:tr w14:paraId="7F10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2" w:hRule="atLeast"/>
          <w:jc w:val="center"/>
        </w:trPr>
        <w:tc>
          <w:tcPr>
            <w:tcW w:w="749" w:type="dxa"/>
            <w:vMerge w:val="continue"/>
            <w:shd w:val="clear" w:color="auto" w:fill="FFFFFF"/>
            <w:tcMar>
              <w:left w:w="108" w:type="dxa"/>
              <w:right w:w="108" w:type="dxa"/>
            </w:tcMar>
            <w:vAlign w:val="center"/>
          </w:tcPr>
          <w:p w14:paraId="27FBF3A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7FEAF00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73</w:t>
            </w:r>
          </w:p>
        </w:tc>
        <w:tc>
          <w:tcPr>
            <w:tcW w:w="8497" w:type="dxa"/>
            <w:shd w:val="clear" w:color="auto" w:fill="FFFFFF"/>
            <w:tcMar>
              <w:left w:w="108" w:type="dxa"/>
              <w:right w:w="108" w:type="dxa"/>
            </w:tcMar>
            <w:vAlign w:val="center"/>
          </w:tcPr>
          <w:p w14:paraId="5E286315">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医疗器械重点监测品种涉及的持有人应当按照医疗器械重点监测工作方案的要求开展工作，主动收集其产品的不良事件报告等相关风险信息，撰写风险评价报告，并按要求报送至重点监测工作组织部门。</w:t>
            </w:r>
          </w:p>
        </w:tc>
        <w:tc>
          <w:tcPr>
            <w:tcW w:w="5509" w:type="dxa"/>
            <w:shd w:val="clear" w:color="auto" w:fill="FFFFFF"/>
            <w:tcMar>
              <w:left w:w="108" w:type="dxa"/>
              <w:right w:w="108" w:type="dxa"/>
            </w:tcMar>
            <w:vAlign w:val="center"/>
          </w:tcPr>
          <w:p w14:paraId="1693B160">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《医疗器械不良事件监测和再评价管理办法》第四十五条。</w:t>
            </w:r>
          </w:p>
        </w:tc>
      </w:tr>
      <w:tr w14:paraId="1160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6" w:hRule="atLeast"/>
          <w:jc w:val="center"/>
        </w:trPr>
        <w:tc>
          <w:tcPr>
            <w:tcW w:w="749" w:type="dxa"/>
            <w:vMerge w:val="continue"/>
            <w:shd w:val="clear" w:color="auto" w:fill="FFFFFF"/>
            <w:tcMar>
              <w:left w:w="108" w:type="dxa"/>
              <w:right w:w="108" w:type="dxa"/>
            </w:tcMar>
            <w:vAlign w:val="center"/>
          </w:tcPr>
          <w:p w14:paraId="50183F0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23C25F4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74</w:t>
            </w:r>
          </w:p>
        </w:tc>
        <w:tc>
          <w:tcPr>
            <w:tcW w:w="8497" w:type="dxa"/>
            <w:shd w:val="clear" w:color="auto" w:fill="FFFFFF"/>
            <w:tcMar>
              <w:left w:w="108" w:type="dxa"/>
              <w:right w:w="108" w:type="dxa"/>
            </w:tcMar>
            <w:vAlign w:val="center"/>
          </w:tcPr>
          <w:p w14:paraId="5E99A3B1">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创新医疗器械持有人应当加强对创新医疗器械的主动监测，制定产品监测计划，主动收集相关不良事件报告和产品投诉信息，并开展调查、分析、评价。</w:t>
            </w:r>
          </w:p>
          <w:p w14:paraId="09319AE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创新医疗器械持有人应当在首个注册周期内，每半年向国家监测机构提交产品不良事件监测分析评价汇总报告。国家监测机构发现医疗器械可能存在严重缺陷的信息，应当及时报国家药品监督管理局。</w:t>
            </w:r>
          </w:p>
        </w:tc>
        <w:tc>
          <w:tcPr>
            <w:tcW w:w="5509" w:type="dxa"/>
            <w:shd w:val="clear" w:color="auto" w:fill="FFFFFF"/>
            <w:tcMar>
              <w:left w:w="108" w:type="dxa"/>
              <w:right w:w="108" w:type="dxa"/>
            </w:tcMar>
            <w:vAlign w:val="center"/>
          </w:tcPr>
          <w:p w14:paraId="2750DD3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《医疗器械不良事件监测和再评价管理办法》第四十七条。</w:t>
            </w:r>
          </w:p>
        </w:tc>
      </w:tr>
      <w:tr w14:paraId="2BFE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8" w:hRule="atLeast"/>
          <w:jc w:val="center"/>
        </w:trPr>
        <w:tc>
          <w:tcPr>
            <w:tcW w:w="749" w:type="dxa"/>
            <w:vMerge w:val="restart"/>
            <w:shd w:val="clear" w:color="auto" w:fill="FFFFFF"/>
            <w:tcMar>
              <w:left w:w="108" w:type="dxa"/>
              <w:right w:w="108" w:type="dxa"/>
            </w:tcMar>
            <w:vAlign w:val="center"/>
          </w:tcPr>
          <w:p w14:paraId="0483972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不良事件监测和产品再评价</w:t>
            </w:r>
          </w:p>
        </w:tc>
        <w:tc>
          <w:tcPr>
            <w:tcW w:w="742" w:type="dxa"/>
            <w:shd w:val="clear" w:color="auto" w:fill="FFFFFF"/>
            <w:tcMar>
              <w:left w:w="108" w:type="dxa"/>
              <w:right w:w="108" w:type="dxa"/>
            </w:tcMar>
            <w:vAlign w:val="center"/>
          </w:tcPr>
          <w:p w14:paraId="67EEA12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75</w:t>
            </w:r>
          </w:p>
        </w:tc>
        <w:tc>
          <w:tcPr>
            <w:tcW w:w="8497" w:type="dxa"/>
            <w:shd w:val="clear" w:color="auto" w:fill="FFFFFF"/>
            <w:tcMar>
              <w:left w:w="108" w:type="dxa"/>
              <w:right w:w="108" w:type="dxa"/>
            </w:tcMar>
            <w:vAlign w:val="center"/>
          </w:tcPr>
          <w:p w14:paraId="28D77FD9">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持有人通过医疗器械不良事件监测，发现存在可能危及人体健康和生命安全的不合理风险的医疗器械，应当根据情况采取以下风险控制措施，并报告所在地省、自治区、直辖市药品监督管理部门：</w:t>
            </w:r>
          </w:p>
          <w:p w14:paraId="30CEF23D">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（一）停止生产、销售相关产品；</w:t>
            </w:r>
          </w:p>
          <w:p w14:paraId="48D08410">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（二）通知医疗器械经营企业、使用单位暂停销售和使用；</w:t>
            </w:r>
          </w:p>
          <w:p w14:paraId="604B8584">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（三）实施产品召回；</w:t>
            </w:r>
          </w:p>
          <w:p w14:paraId="7F6A5FCF">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（四）发布风险信息；</w:t>
            </w:r>
          </w:p>
          <w:p w14:paraId="2A9BE8A3">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（五）对生产质量管理体系进行自查，并对相关问题进行整改；</w:t>
            </w:r>
          </w:p>
          <w:p w14:paraId="6CEBFE52">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（六）修改说明书、标签、操作手册等；</w:t>
            </w:r>
          </w:p>
          <w:p w14:paraId="2A99722F">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（七）改进生产工艺、设计、产品技术要求等；</w:t>
            </w:r>
          </w:p>
          <w:p w14:paraId="6709ADB4">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（八）开展医疗器械再评价；</w:t>
            </w:r>
          </w:p>
          <w:p w14:paraId="769B2674">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（九）按规定进行变更注册或者备案；</w:t>
            </w:r>
          </w:p>
          <w:p w14:paraId="1FCE5D24">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（十）其他需要采取的风险控制措施。</w:t>
            </w:r>
          </w:p>
          <w:p w14:paraId="287365D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与用械安全相关的风险及处置情况，持有人应当及时向社会公布。</w:t>
            </w:r>
          </w:p>
        </w:tc>
        <w:tc>
          <w:tcPr>
            <w:tcW w:w="5509" w:type="dxa"/>
            <w:shd w:val="clear" w:color="auto" w:fill="FFFFFF"/>
            <w:tcMar>
              <w:left w:w="108" w:type="dxa"/>
              <w:right w:w="108" w:type="dxa"/>
            </w:tcMar>
            <w:vAlign w:val="center"/>
          </w:tcPr>
          <w:p w14:paraId="7FC4002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《医疗器械不良事件监测和再评价管理办法》第四十八条。</w:t>
            </w:r>
          </w:p>
        </w:tc>
      </w:tr>
      <w:tr w14:paraId="03BF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8" w:hRule="atLeast"/>
          <w:jc w:val="center"/>
        </w:trPr>
        <w:tc>
          <w:tcPr>
            <w:tcW w:w="749" w:type="dxa"/>
            <w:vMerge w:val="continue"/>
            <w:shd w:val="clear" w:color="auto" w:fill="FFFFFF"/>
            <w:tcMar>
              <w:left w:w="108" w:type="dxa"/>
              <w:right w:w="108" w:type="dxa"/>
            </w:tcMar>
            <w:vAlign w:val="center"/>
          </w:tcPr>
          <w:p w14:paraId="6505320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335A200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76</w:t>
            </w:r>
          </w:p>
        </w:tc>
        <w:tc>
          <w:tcPr>
            <w:tcW w:w="8497" w:type="dxa"/>
            <w:shd w:val="clear" w:color="auto" w:fill="FFFFFF"/>
            <w:tcMar>
              <w:left w:w="108" w:type="dxa"/>
              <w:right w:w="108" w:type="dxa"/>
            </w:tcMar>
            <w:vAlign w:val="center"/>
          </w:tcPr>
          <w:p w14:paraId="686156F2">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进口医疗器械在境外发生医疗器械不良事件，或者国产医疗器械在境外发生医疗器械不良事件，被采取控制措施的，境外持有人指定的代理人或者国产医疗器械持有人应当在获知后24小时内，将境外医疗器械不良事件情况、控制措施情况和在境内拟采取的控制措施报国家药品监督管理局和国家监测机构，抄送所在地省、自治区、直辖市药品监督管理部门，及时报告后续处置情况。</w:t>
            </w:r>
          </w:p>
        </w:tc>
        <w:tc>
          <w:tcPr>
            <w:tcW w:w="5509" w:type="dxa"/>
            <w:shd w:val="clear" w:color="auto" w:fill="FFFFFF"/>
            <w:tcMar>
              <w:left w:w="108" w:type="dxa"/>
              <w:right w:w="108" w:type="dxa"/>
            </w:tcMar>
            <w:vAlign w:val="center"/>
          </w:tcPr>
          <w:p w14:paraId="245A772D">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《医疗器械不良事件监测和再评价管理办法》第五十三条。</w:t>
            </w:r>
          </w:p>
        </w:tc>
      </w:tr>
      <w:tr w14:paraId="5196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9" w:type="dxa"/>
            <w:vMerge w:val="restart"/>
            <w:shd w:val="clear" w:color="auto" w:fill="FFFFFF"/>
            <w:tcMar>
              <w:left w:w="108" w:type="dxa"/>
              <w:right w:w="108" w:type="dxa"/>
            </w:tcMar>
            <w:vAlign w:val="center"/>
          </w:tcPr>
          <w:p w14:paraId="22B52B0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不良事件监测和产品再评价</w:t>
            </w:r>
          </w:p>
        </w:tc>
        <w:tc>
          <w:tcPr>
            <w:tcW w:w="742" w:type="dxa"/>
            <w:shd w:val="clear" w:color="auto" w:fill="FFFFFF"/>
            <w:tcMar>
              <w:left w:w="108" w:type="dxa"/>
              <w:right w:w="108" w:type="dxa"/>
            </w:tcMar>
            <w:vAlign w:val="center"/>
          </w:tcPr>
          <w:p w14:paraId="5EC08B4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77</w:t>
            </w:r>
          </w:p>
        </w:tc>
        <w:tc>
          <w:tcPr>
            <w:tcW w:w="8497" w:type="dxa"/>
            <w:shd w:val="clear" w:color="auto" w:fill="FFFFFF"/>
            <w:tcMar>
              <w:left w:w="108" w:type="dxa"/>
              <w:right w:w="108" w:type="dxa"/>
            </w:tcMar>
            <w:vAlign w:val="center"/>
          </w:tcPr>
          <w:p w14:paraId="0CF8ED93">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有下列情形之一的，持有人应当主动开展再评价，并依据再评价结论，采取相应措施：</w:t>
            </w:r>
          </w:p>
          <w:p w14:paraId="5F5F404B">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（一）根据科学研究的发展，对医疗器械的安全、有效有认识上改变的；</w:t>
            </w:r>
          </w:p>
          <w:p w14:paraId="79CC4907">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（二）医疗器械不良事件监测、评估结果表明医疗器械可能存在缺陷的；</w:t>
            </w:r>
          </w:p>
          <w:p w14:paraId="5E220EC5">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（三）国家药品监督管理局规定应当开展再评价的其他情形。</w:t>
            </w:r>
          </w:p>
        </w:tc>
        <w:tc>
          <w:tcPr>
            <w:tcW w:w="5509" w:type="dxa"/>
            <w:shd w:val="clear" w:color="auto" w:fill="FFFFFF"/>
            <w:tcMar>
              <w:left w:w="108" w:type="dxa"/>
              <w:right w:w="108" w:type="dxa"/>
            </w:tcMar>
            <w:vAlign w:val="center"/>
          </w:tcPr>
          <w:p w14:paraId="626BCFC2">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《医疗器械不良事件监测和再评价管理办法》第五十五条。</w:t>
            </w:r>
          </w:p>
        </w:tc>
      </w:tr>
      <w:tr w14:paraId="7EFA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7" w:hRule="atLeast"/>
          <w:jc w:val="center"/>
        </w:trPr>
        <w:tc>
          <w:tcPr>
            <w:tcW w:w="749" w:type="dxa"/>
            <w:vMerge w:val="continue"/>
            <w:shd w:val="clear" w:color="auto" w:fill="FFFFFF"/>
            <w:tcMar>
              <w:left w:w="108" w:type="dxa"/>
              <w:right w:w="108" w:type="dxa"/>
            </w:tcMar>
            <w:vAlign w:val="center"/>
          </w:tcPr>
          <w:p w14:paraId="75AD249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58706A1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78</w:t>
            </w:r>
          </w:p>
        </w:tc>
        <w:tc>
          <w:tcPr>
            <w:tcW w:w="8497" w:type="dxa"/>
            <w:shd w:val="clear" w:color="auto" w:fill="FFFFFF"/>
            <w:tcMar>
              <w:left w:w="108" w:type="dxa"/>
              <w:right w:w="108" w:type="dxa"/>
            </w:tcMar>
            <w:vAlign w:val="center"/>
          </w:tcPr>
          <w:p w14:paraId="1815DE2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持有人开展医疗器械再评价，应当根据产品上市后获知和掌握的产品安全有效信息、临床数据和使用经验等，对原医疗器械注册资料中的综述资料、研究资料、临床评价资料、产品风险分析资料、产品技术要求、说明书、标签等技术数据和内容进行重新评价。</w:t>
            </w:r>
          </w:p>
        </w:tc>
        <w:tc>
          <w:tcPr>
            <w:tcW w:w="5509" w:type="dxa"/>
            <w:shd w:val="clear" w:color="auto" w:fill="FFFFFF"/>
            <w:tcMar>
              <w:left w:w="108" w:type="dxa"/>
              <w:right w:w="108" w:type="dxa"/>
            </w:tcMar>
            <w:vAlign w:val="center"/>
          </w:tcPr>
          <w:p w14:paraId="798F75B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《医疗器械不良事件监测和再评价管理办法》第五十六条。</w:t>
            </w:r>
          </w:p>
        </w:tc>
      </w:tr>
      <w:tr w14:paraId="3617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5" w:hRule="atLeast"/>
          <w:jc w:val="center"/>
        </w:trPr>
        <w:tc>
          <w:tcPr>
            <w:tcW w:w="749" w:type="dxa"/>
            <w:vMerge w:val="continue"/>
            <w:shd w:val="clear" w:color="auto" w:fill="FFFFFF"/>
            <w:tcMar>
              <w:left w:w="108" w:type="dxa"/>
              <w:right w:w="108" w:type="dxa"/>
            </w:tcMar>
            <w:vAlign w:val="center"/>
          </w:tcPr>
          <w:p w14:paraId="5E176F2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3C0B3C9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79</w:t>
            </w:r>
          </w:p>
        </w:tc>
        <w:tc>
          <w:tcPr>
            <w:tcW w:w="8497" w:type="dxa"/>
            <w:shd w:val="clear" w:color="auto" w:fill="FFFFFF"/>
            <w:tcMar>
              <w:left w:w="108" w:type="dxa"/>
              <w:right w:w="108" w:type="dxa"/>
            </w:tcMar>
            <w:vAlign w:val="center"/>
          </w:tcPr>
          <w:p w14:paraId="211FEAB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持有人主动开展医疗器械再评价的，应当制定再评价工作方案。通过再评价确定需要采取控制措施的，应当在再评价结论形成后15日内，提交再评价报告。其中，国家药品监督管理局批准注册或者备案的医疗器械，持有人应当向国家监测机构提交；其他医疗器械的持有人应当向所在地省级监测机构提交。</w:t>
            </w:r>
          </w:p>
          <w:p w14:paraId="79E69EB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持有人未按规定履行医疗器械再评价义务的，省级以上药品监督管理部门应当责令持有人开展再评价。必要时，省级以上药品监督管理部门可以直接组织开展再评价。</w:t>
            </w:r>
          </w:p>
        </w:tc>
        <w:tc>
          <w:tcPr>
            <w:tcW w:w="5509" w:type="dxa"/>
            <w:shd w:val="clear" w:color="auto" w:fill="FFFFFF"/>
            <w:tcMar>
              <w:left w:w="108" w:type="dxa"/>
              <w:right w:w="108" w:type="dxa"/>
            </w:tcMar>
            <w:vAlign w:val="center"/>
          </w:tcPr>
          <w:p w14:paraId="71FF55B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《医疗器械不良事件监测和再评价管理办法》第五十八条。</w:t>
            </w:r>
          </w:p>
        </w:tc>
      </w:tr>
      <w:tr w14:paraId="4612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749" w:type="dxa"/>
            <w:vMerge w:val="continue"/>
            <w:shd w:val="clear" w:color="auto" w:fill="FFFFFF"/>
            <w:tcMar>
              <w:left w:w="108" w:type="dxa"/>
              <w:right w:w="108" w:type="dxa"/>
            </w:tcMar>
            <w:vAlign w:val="center"/>
          </w:tcPr>
          <w:p w14:paraId="55BAE08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122E0C6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80</w:t>
            </w:r>
          </w:p>
        </w:tc>
        <w:tc>
          <w:tcPr>
            <w:tcW w:w="8497" w:type="dxa"/>
            <w:shd w:val="clear" w:color="auto" w:fill="FFFFFF"/>
            <w:tcMar>
              <w:left w:w="108" w:type="dxa"/>
              <w:right w:w="108" w:type="dxa"/>
            </w:tcMar>
            <w:vAlign w:val="center"/>
          </w:tcPr>
          <w:p w14:paraId="52A0BA67">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省级以上药品监督管理部门责令开展再评价的，持有人应当在再评价实施前和再评价结束后30日内向相应药品监督管理部门及监测机构提交再评价方案和再评价报告。</w:t>
            </w:r>
          </w:p>
          <w:p w14:paraId="0F2834ED">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再评价实施期限超过1年的，持有人应当每年报告年度进展情况。</w:t>
            </w:r>
          </w:p>
        </w:tc>
        <w:tc>
          <w:tcPr>
            <w:tcW w:w="5509" w:type="dxa"/>
            <w:shd w:val="clear" w:color="auto" w:fill="FFFFFF"/>
            <w:tcMar>
              <w:left w:w="108" w:type="dxa"/>
              <w:right w:w="108" w:type="dxa"/>
            </w:tcMar>
            <w:vAlign w:val="center"/>
          </w:tcPr>
          <w:p w14:paraId="7C9A511E">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《医疗器械不良事件监测和再评价管理办法》第五十九条。</w:t>
            </w:r>
          </w:p>
        </w:tc>
      </w:tr>
      <w:tr w14:paraId="7E01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atLeast"/>
          <w:jc w:val="center"/>
        </w:trPr>
        <w:tc>
          <w:tcPr>
            <w:tcW w:w="749" w:type="dxa"/>
            <w:vMerge w:val="continue"/>
            <w:shd w:val="clear" w:color="auto" w:fill="FFFFFF"/>
            <w:tcMar>
              <w:left w:w="108" w:type="dxa"/>
              <w:right w:w="108" w:type="dxa"/>
            </w:tcMar>
            <w:vAlign w:val="center"/>
          </w:tcPr>
          <w:p w14:paraId="5491FFE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70D1538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81</w:t>
            </w:r>
          </w:p>
        </w:tc>
        <w:tc>
          <w:tcPr>
            <w:tcW w:w="8497" w:type="dxa"/>
            <w:shd w:val="clear" w:color="auto" w:fill="FFFFFF"/>
            <w:tcMar>
              <w:left w:w="108" w:type="dxa"/>
              <w:right w:w="108" w:type="dxa"/>
            </w:tcMar>
            <w:vAlign w:val="center"/>
          </w:tcPr>
          <w:p w14:paraId="28C7236C">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药品监督管理部门对持有人开展的再评价结论有异议的，持有人应当按照药品监督管理部门的要求重新确认再评价结果或者重新开展再评价。</w:t>
            </w:r>
          </w:p>
        </w:tc>
        <w:tc>
          <w:tcPr>
            <w:tcW w:w="5509" w:type="dxa"/>
            <w:shd w:val="clear" w:color="auto" w:fill="FFFFFF"/>
            <w:tcMar>
              <w:left w:w="108" w:type="dxa"/>
              <w:right w:w="108" w:type="dxa"/>
            </w:tcMar>
            <w:vAlign w:val="center"/>
          </w:tcPr>
          <w:p w14:paraId="08DD984B">
            <w:pPr>
              <w:pStyle w:val="36"/>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《医疗器械不良事件监测和再评价管理办法》第六十条第二款。</w:t>
            </w:r>
          </w:p>
        </w:tc>
      </w:tr>
      <w:tr w14:paraId="5EB7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49" w:type="dxa"/>
            <w:shd w:val="clear" w:color="auto" w:fill="FFFFFF"/>
            <w:tcMar>
              <w:left w:w="108" w:type="dxa"/>
              <w:right w:w="108" w:type="dxa"/>
            </w:tcMar>
            <w:vAlign w:val="center"/>
          </w:tcPr>
          <w:p w14:paraId="7BD4E332">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不良事件监测和产品再评价</w:t>
            </w:r>
          </w:p>
        </w:tc>
        <w:tc>
          <w:tcPr>
            <w:tcW w:w="742" w:type="dxa"/>
            <w:shd w:val="clear" w:color="auto" w:fill="FFFFFF"/>
            <w:tcMar>
              <w:left w:w="108" w:type="dxa"/>
              <w:right w:w="108" w:type="dxa"/>
            </w:tcMar>
            <w:vAlign w:val="center"/>
          </w:tcPr>
          <w:p w14:paraId="738E5DC9">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82</w:t>
            </w:r>
          </w:p>
        </w:tc>
        <w:tc>
          <w:tcPr>
            <w:tcW w:w="8497" w:type="dxa"/>
            <w:shd w:val="clear" w:color="auto" w:fill="FFFFFF"/>
            <w:tcMar>
              <w:left w:w="108" w:type="dxa"/>
              <w:right w:w="108" w:type="dxa"/>
            </w:tcMar>
            <w:vAlign w:val="center"/>
          </w:tcPr>
          <w:p w14:paraId="1D768D88">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再评价结果表明已注册或者备案的医疗器械存在危及人身安全的缺陷，且无法通过技术改进、修改说明书和标签等措施消除或者控制风险，或者风险获益比不可接受的，持有人应当主动申请注销医疗器械注册证或者取消产品备案；被注销医疗器械注册证或者被取消备案的医疗器械不得生产、进口、经营和使用。</w:t>
            </w:r>
          </w:p>
        </w:tc>
        <w:tc>
          <w:tcPr>
            <w:tcW w:w="5509" w:type="dxa"/>
            <w:shd w:val="clear" w:color="auto" w:fill="FFFFFF"/>
            <w:tcMar>
              <w:left w:w="108" w:type="dxa"/>
              <w:right w:w="108" w:type="dxa"/>
            </w:tcMar>
            <w:vAlign w:val="center"/>
          </w:tcPr>
          <w:p w14:paraId="24E3D870">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《医疗器械不良事件监测和再评价管理办法》第六十二条第一款。</w:t>
            </w:r>
          </w:p>
        </w:tc>
      </w:tr>
      <w:tr w14:paraId="63BF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749" w:type="dxa"/>
            <w:vMerge w:val="restart"/>
            <w:shd w:val="clear" w:color="auto" w:fill="FFFFFF"/>
            <w:tcMar>
              <w:left w:w="108" w:type="dxa"/>
              <w:right w:w="108" w:type="dxa"/>
            </w:tcMar>
            <w:vAlign w:val="center"/>
          </w:tcPr>
          <w:p w14:paraId="60158612">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产品召回</w:t>
            </w:r>
          </w:p>
        </w:tc>
        <w:tc>
          <w:tcPr>
            <w:tcW w:w="742" w:type="dxa"/>
            <w:shd w:val="clear" w:color="auto" w:fill="FFFFFF"/>
            <w:tcMar>
              <w:left w:w="108" w:type="dxa"/>
              <w:right w:w="108" w:type="dxa"/>
            </w:tcMar>
            <w:vAlign w:val="center"/>
          </w:tcPr>
          <w:p w14:paraId="4218EBF4">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83</w:t>
            </w:r>
          </w:p>
        </w:tc>
        <w:tc>
          <w:tcPr>
            <w:tcW w:w="8497" w:type="dxa"/>
            <w:shd w:val="clear" w:color="auto" w:fill="FFFFFF"/>
            <w:tcMar>
              <w:left w:w="108" w:type="dxa"/>
              <w:right w:w="108" w:type="dxa"/>
            </w:tcMar>
            <w:vAlign w:val="center"/>
          </w:tcPr>
          <w:p w14:paraId="6583B652">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spacing w:val="-2"/>
                <w:sz w:val="18"/>
                <w:szCs w:val="18"/>
              </w:rPr>
            </w:pPr>
            <w:r>
              <w:rPr>
                <w:rFonts w:hint="eastAsia" w:ascii="方正仿宋_GBK" w:hAnsi="方正仿宋_GBK" w:eastAsia="方正仿宋_GBK" w:cs="方正仿宋_GBK"/>
                <w:spacing w:val="-2"/>
                <w:sz w:val="18"/>
                <w:szCs w:val="18"/>
              </w:rPr>
              <w:t>医疗器械注册人、备案人是控制与消除产品缺陷的责任主体，应当主动对缺陷产品实施召回。</w:t>
            </w:r>
          </w:p>
        </w:tc>
        <w:tc>
          <w:tcPr>
            <w:tcW w:w="5509" w:type="dxa"/>
            <w:shd w:val="clear" w:color="auto" w:fill="FFFFFF"/>
            <w:tcMar>
              <w:left w:w="108" w:type="dxa"/>
              <w:right w:w="108" w:type="dxa"/>
            </w:tcMar>
            <w:vAlign w:val="center"/>
          </w:tcPr>
          <w:p w14:paraId="0F62120D">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《医疗器械召回管理办法》第五条。</w:t>
            </w:r>
          </w:p>
        </w:tc>
      </w:tr>
      <w:tr w14:paraId="104D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749" w:type="dxa"/>
            <w:vMerge w:val="continue"/>
            <w:shd w:val="clear" w:color="auto" w:fill="FFFFFF"/>
            <w:tcMar>
              <w:left w:w="108" w:type="dxa"/>
              <w:right w:w="108" w:type="dxa"/>
            </w:tcMar>
            <w:vAlign w:val="center"/>
          </w:tcPr>
          <w:p w14:paraId="607530C0">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7CE6D43C">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84</w:t>
            </w:r>
          </w:p>
        </w:tc>
        <w:tc>
          <w:tcPr>
            <w:tcW w:w="8497" w:type="dxa"/>
            <w:shd w:val="clear" w:color="auto" w:fill="FFFFFF"/>
            <w:tcMar>
              <w:left w:w="108" w:type="dxa"/>
              <w:right w:w="108" w:type="dxa"/>
            </w:tcMar>
            <w:vAlign w:val="center"/>
          </w:tcPr>
          <w:p w14:paraId="0294B10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医疗器械注册人、备案人应当按照本办法的规定建立健全医疗器械召回管理制度，收集医疗器械安全相关信息，对可能的缺陷产品进行调查、评估，及时召回缺陷产品。</w:t>
            </w:r>
          </w:p>
        </w:tc>
        <w:tc>
          <w:tcPr>
            <w:tcW w:w="5509" w:type="dxa"/>
            <w:shd w:val="clear" w:color="auto" w:fill="FFFFFF"/>
            <w:tcMar>
              <w:left w:w="108" w:type="dxa"/>
              <w:right w:w="108" w:type="dxa"/>
            </w:tcMar>
            <w:vAlign w:val="center"/>
          </w:tcPr>
          <w:p w14:paraId="24FA3E78">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《医疗器械召回管理办法》第六条。</w:t>
            </w:r>
          </w:p>
        </w:tc>
      </w:tr>
      <w:tr w14:paraId="7A7F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jc w:val="center"/>
        </w:trPr>
        <w:tc>
          <w:tcPr>
            <w:tcW w:w="749" w:type="dxa"/>
            <w:vMerge w:val="continue"/>
            <w:shd w:val="clear" w:color="auto" w:fill="FFFFFF"/>
            <w:tcMar>
              <w:left w:w="108" w:type="dxa"/>
              <w:right w:w="108" w:type="dxa"/>
            </w:tcMar>
            <w:vAlign w:val="center"/>
          </w:tcPr>
          <w:p w14:paraId="4034C0BF">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126CED0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85</w:t>
            </w:r>
          </w:p>
        </w:tc>
        <w:tc>
          <w:tcPr>
            <w:tcW w:w="8497" w:type="dxa"/>
            <w:shd w:val="clear" w:color="auto" w:fill="FFFFFF"/>
            <w:tcMar>
              <w:left w:w="108" w:type="dxa"/>
              <w:right w:w="108" w:type="dxa"/>
            </w:tcMar>
            <w:vAlign w:val="center"/>
          </w:tcPr>
          <w:p w14:paraId="1DB4F672">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医疗器械注册人、备案人按照《医疗器械召回管理办法》第十条、第十二条的要求进行调查评估后，确定医疗器械产品存在缺陷的，应当立即决定并实施召回，同时向社会发布产品召回信息。</w:t>
            </w:r>
          </w:p>
        </w:tc>
        <w:tc>
          <w:tcPr>
            <w:tcW w:w="5509" w:type="dxa"/>
            <w:shd w:val="clear" w:color="auto" w:fill="FFFFFF"/>
            <w:tcMar>
              <w:left w:w="108" w:type="dxa"/>
              <w:right w:w="108" w:type="dxa"/>
            </w:tcMar>
            <w:vAlign w:val="center"/>
          </w:tcPr>
          <w:p w14:paraId="26D12D49">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《医疗器械召回管理办法》第十四条第一款。</w:t>
            </w:r>
          </w:p>
        </w:tc>
      </w:tr>
      <w:tr w14:paraId="734E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4" w:hRule="atLeast"/>
          <w:jc w:val="center"/>
        </w:trPr>
        <w:tc>
          <w:tcPr>
            <w:tcW w:w="749" w:type="dxa"/>
            <w:vMerge w:val="continue"/>
            <w:shd w:val="clear" w:color="auto" w:fill="FFFFFF"/>
            <w:tcMar>
              <w:left w:w="108" w:type="dxa"/>
              <w:right w:w="108" w:type="dxa"/>
            </w:tcMar>
            <w:vAlign w:val="center"/>
          </w:tcPr>
          <w:p w14:paraId="3B7A11CD">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2ED8F522">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86</w:t>
            </w:r>
          </w:p>
        </w:tc>
        <w:tc>
          <w:tcPr>
            <w:tcW w:w="8497" w:type="dxa"/>
            <w:shd w:val="clear" w:color="auto" w:fill="FFFFFF"/>
            <w:tcMar>
              <w:left w:w="108" w:type="dxa"/>
              <w:right w:w="108" w:type="dxa"/>
            </w:tcMar>
            <w:vAlign w:val="center"/>
          </w:tcPr>
          <w:p w14:paraId="7FF4590F">
            <w:pPr>
              <w:pStyle w:val="36"/>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医疗器械注册人、备案人作出医疗器械召回决定的，一级召回应当在1日内，二级召回应当在3日内，三级召回应当在7日内，通知到有关医疗器械经营企业、使用单位或者告知使用者。召回通知应当包括以下内容：（一）召回医疗器械名称、型号规格、批次等基本信息；（二）召回的原因；（三）召回的要求，如立即暂停销售和使用该产品、将召回通知转发到相关经营企业或者使用单位等；（四）召回医疗器械的处理方式。</w:t>
            </w:r>
          </w:p>
        </w:tc>
        <w:tc>
          <w:tcPr>
            <w:tcW w:w="5509" w:type="dxa"/>
            <w:shd w:val="clear" w:color="auto" w:fill="FFFFFF"/>
            <w:tcMar>
              <w:left w:w="108" w:type="dxa"/>
              <w:right w:w="108" w:type="dxa"/>
            </w:tcMar>
            <w:vAlign w:val="center"/>
          </w:tcPr>
          <w:p w14:paraId="6142AEF4">
            <w:pPr>
              <w:pStyle w:val="36"/>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《医疗器械召回管理办法》第十五条。</w:t>
            </w:r>
          </w:p>
        </w:tc>
      </w:tr>
      <w:tr w14:paraId="607C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jc w:val="center"/>
        </w:trPr>
        <w:tc>
          <w:tcPr>
            <w:tcW w:w="749" w:type="dxa"/>
            <w:vMerge w:val="restart"/>
            <w:shd w:val="clear" w:color="auto" w:fill="FFFFFF"/>
            <w:tcMar>
              <w:left w:w="108" w:type="dxa"/>
              <w:right w:w="108" w:type="dxa"/>
            </w:tcMar>
            <w:vAlign w:val="center"/>
          </w:tcPr>
          <w:p w14:paraId="0D4C478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产品召回</w:t>
            </w:r>
          </w:p>
        </w:tc>
        <w:tc>
          <w:tcPr>
            <w:tcW w:w="742" w:type="dxa"/>
            <w:shd w:val="clear" w:color="auto" w:fill="FFFFFF"/>
            <w:tcMar>
              <w:left w:w="108" w:type="dxa"/>
              <w:right w:w="108" w:type="dxa"/>
            </w:tcMar>
            <w:vAlign w:val="center"/>
          </w:tcPr>
          <w:p w14:paraId="642E5E7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87</w:t>
            </w:r>
          </w:p>
        </w:tc>
        <w:tc>
          <w:tcPr>
            <w:tcW w:w="8497" w:type="dxa"/>
            <w:shd w:val="clear" w:color="auto" w:fill="FFFFFF"/>
            <w:tcMar>
              <w:left w:w="108" w:type="dxa"/>
              <w:right w:w="108" w:type="dxa"/>
            </w:tcMar>
            <w:vAlign w:val="center"/>
          </w:tcPr>
          <w:p w14:paraId="065E9B0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作出医疗器械召回决定的，应当立即向所在地省、自治区、直辖市药品监督管理部门和批准该产品注册或者办理备案的药品监督管理部门提交医疗器械召回事件报告表，并在5个工作日内将调查评估报告和召回计划提交至所在地省、自治区、直辖市药品监督管理部门和批准注册或者办理备案的药品监督管理部门备案。</w:t>
            </w:r>
          </w:p>
        </w:tc>
        <w:tc>
          <w:tcPr>
            <w:tcW w:w="5509" w:type="dxa"/>
            <w:shd w:val="clear" w:color="auto" w:fill="FFFFFF"/>
            <w:tcMar>
              <w:left w:w="108" w:type="dxa"/>
              <w:right w:w="108" w:type="dxa"/>
            </w:tcMar>
            <w:vAlign w:val="center"/>
          </w:tcPr>
          <w:p w14:paraId="62CD0B8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《医疗器械召回管理办法》第十六条。</w:t>
            </w:r>
          </w:p>
        </w:tc>
      </w:tr>
      <w:tr w14:paraId="7D62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749" w:type="dxa"/>
            <w:vMerge w:val="continue"/>
            <w:shd w:val="clear" w:color="auto" w:fill="FFFFFF"/>
            <w:tcMar>
              <w:left w:w="108" w:type="dxa"/>
              <w:right w:w="108" w:type="dxa"/>
            </w:tcMar>
            <w:vAlign w:val="center"/>
          </w:tcPr>
          <w:p w14:paraId="1CA02B1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3C4D0D0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88</w:t>
            </w:r>
          </w:p>
        </w:tc>
        <w:tc>
          <w:tcPr>
            <w:tcW w:w="8497" w:type="dxa"/>
            <w:shd w:val="clear" w:color="auto" w:fill="FFFFFF"/>
            <w:tcMar>
              <w:left w:w="108" w:type="dxa"/>
              <w:right w:w="108" w:type="dxa"/>
            </w:tcMar>
            <w:vAlign w:val="center"/>
          </w:tcPr>
          <w:p w14:paraId="3C4B908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医疗器械注册人、备案人对上报的召回计划进行变更的，应当及时报所在地省、自治区、直辖市药品监督管理部门备案。</w:t>
            </w:r>
          </w:p>
        </w:tc>
        <w:tc>
          <w:tcPr>
            <w:tcW w:w="5509" w:type="dxa"/>
            <w:shd w:val="clear" w:color="auto" w:fill="FFFFFF"/>
            <w:tcMar>
              <w:left w:w="108" w:type="dxa"/>
              <w:right w:w="108" w:type="dxa"/>
            </w:tcMar>
            <w:vAlign w:val="center"/>
          </w:tcPr>
          <w:p w14:paraId="05C4BBC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《医疗器械召回管理办法》第十九条。</w:t>
            </w:r>
          </w:p>
        </w:tc>
      </w:tr>
      <w:tr w14:paraId="1B87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749" w:type="dxa"/>
            <w:vMerge w:val="continue"/>
            <w:shd w:val="clear" w:color="auto" w:fill="FFFFFF"/>
            <w:tcMar>
              <w:left w:w="108" w:type="dxa"/>
              <w:right w:w="108" w:type="dxa"/>
            </w:tcMar>
            <w:vAlign w:val="center"/>
          </w:tcPr>
          <w:p w14:paraId="6E26BE3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3031B6E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89</w:t>
            </w:r>
          </w:p>
        </w:tc>
        <w:tc>
          <w:tcPr>
            <w:tcW w:w="8497" w:type="dxa"/>
            <w:shd w:val="clear" w:color="auto" w:fill="FFFFFF"/>
            <w:tcMar>
              <w:left w:w="108" w:type="dxa"/>
              <w:right w:w="108" w:type="dxa"/>
            </w:tcMar>
            <w:vAlign w:val="center"/>
          </w:tcPr>
          <w:p w14:paraId="402B3CC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医疗器械注册人、备案人在实施召回的过程中，应当根据召回计划定期向所在地省、自治区、直辖市药品监督管理部门提交召回计划实施情况报告。</w:t>
            </w:r>
          </w:p>
        </w:tc>
        <w:tc>
          <w:tcPr>
            <w:tcW w:w="5509" w:type="dxa"/>
            <w:shd w:val="clear" w:color="auto" w:fill="FFFFFF"/>
            <w:tcMar>
              <w:left w:w="108" w:type="dxa"/>
              <w:right w:w="108" w:type="dxa"/>
            </w:tcMar>
            <w:vAlign w:val="center"/>
          </w:tcPr>
          <w:p w14:paraId="6D6AE6A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《医疗器械召回管理办法》第二十条。</w:t>
            </w:r>
          </w:p>
        </w:tc>
      </w:tr>
      <w:tr w14:paraId="0D6B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6" w:hRule="atLeast"/>
          <w:jc w:val="center"/>
        </w:trPr>
        <w:tc>
          <w:tcPr>
            <w:tcW w:w="749" w:type="dxa"/>
            <w:vMerge w:val="continue"/>
            <w:shd w:val="clear" w:color="auto" w:fill="FFFFFF"/>
            <w:tcMar>
              <w:left w:w="108" w:type="dxa"/>
              <w:right w:w="108" w:type="dxa"/>
            </w:tcMar>
            <w:vAlign w:val="center"/>
          </w:tcPr>
          <w:p w14:paraId="744DDA7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6FE5B58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90</w:t>
            </w:r>
          </w:p>
        </w:tc>
        <w:tc>
          <w:tcPr>
            <w:tcW w:w="8497" w:type="dxa"/>
            <w:shd w:val="clear" w:color="auto" w:fill="FFFFFF"/>
            <w:tcMar>
              <w:left w:w="108" w:type="dxa"/>
              <w:right w:w="108" w:type="dxa"/>
            </w:tcMar>
            <w:vAlign w:val="center"/>
          </w:tcPr>
          <w:p w14:paraId="133A01E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对召回医疗器械的处理应当有详细的记录，并向医疗器械生产企业所在地省、自治区、直辖市药品监督管理部门报告，记录应当保存至医疗器械注册证失效后5年，第一类医疗器械召回的处理记录应当保存5年。对通过警示、检查、修理、重新标签、修改并完善说明书、软件更新、替换、销毁等方式能够消除产品缺陷的，可以在产品所在地完成上述行为。需要销毁的，应当在药品监督管理部门监督下销毁。</w:t>
            </w:r>
          </w:p>
        </w:tc>
        <w:tc>
          <w:tcPr>
            <w:tcW w:w="5509" w:type="dxa"/>
            <w:shd w:val="clear" w:color="auto" w:fill="FFFFFF"/>
            <w:tcMar>
              <w:left w:w="108" w:type="dxa"/>
              <w:right w:w="108" w:type="dxa"/>
            </w:tcMar>
            <w:vAlign w:val="center"/>
          </w:tcPr>
          <w:p w14:paraId="340329B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《医疗器械召回管理办法》第二十一条。</w:t>
            </w:r>
          </w:p>
        </w:tc>
      </w:tr>
    </w:tbl>
    <w:p w14:paraId="262DA661">
      <w:pPr>
        <w:rPr>
          <w:rFonts w:ascii="Times New Roman" w:hAnsi="Times New Roman"/>
        </w:rPr>
      </w:pPr>
    </w:p>
    <w:p w14:paraId="48A75035">
      <w:pPr>
        <w:rPr>
          <w:rFonts w:ascii="Times New Roman" w:hAnsi="Times New Roman"/>
        </w:rPr>
      </w:pPr>
    </w:p>
    <w:p w14:paraId="3CB34907">
      <w:pPr>
        <w:rPr>
          <w:rFonts w:ascii="Times New Roman" w:hAnsi="Times New Roman"/>
        </w:rPr>
      </w:pPr>
    </w:p>
    <w:p w14:paraId="44515CE8">
      <w:pPr>
        <w:rPr>
          <w:rFonts w:ascii="Times New Roman" w:hAnsi="Times New Roman"/>
        </w:rPr>
      </w:pPr>
    </w:p>
    <w:tbl>
      <w:tblPr>
        <w:tblStyle w:val="9"/>
        <w:tblW w:w="15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52"/>
        <w:gridCol w:w="742"/>
        <w:gridCol w:w="8525"/>
        <w:gridCol w:w="5513"/>
      </w:tblGrid>
      <w:tr w14:paraId="0AE8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8" w:hRule="atLeast"/>
          <w:tblHeader/>
          <w:jc w:val="center"/>
        </w:trPr>
        <w:tc>
          <w:tcPr>
            <w:tcW w:w="752" w:type="dxa"/>
            <w:shd w:val="clear" w:color="auto" w:fill="FFFFFF"/>
            <w:tcMar>
              <w:left w:w="108" w:type="dxa"/>
              <w:right w:w="108" w:type="dxa"/>
            </w:tcMar>
            <w:vAlign w:val="center"/>
          </w:tcPr>
          <w:p w14:paraId="2DBEA00B">
            <w:pPr>
              <w:snapToGrid w:val="0"/>
              <w:spacing w:line="400" w:lineRule="exact"/>
              <w:jc w:val="center"/>
              <w:rPr>
                <w:rFonts w:eastAsia="方正黑体_GBK" w:cs="方正黑体_GBK"/>
                <w:sz w:val="18"/>
                <w:szCs w:val="18"/>
              </w:rPr>
            </w:pPr>
            <w:r>
              <w:rPr>
                <w:rFonts w:hint="eastAsia" w:eastAsia="方正黑体_GBK" w:cs="方正黑体_GBK"/>
                <w:sz w:val="18"/>
                <w:szCs w:val="18"/>
              </w:rPr>
              <w:t>表7</w:t>
            </w:r>
          </w:p>
        </w:tc>
        <w:tc>
          <w:tcPr>
            <w:tcW w:w="14780" w:type="dxa"/>
            <w:gridSpan w:val="3"/>
            <w:shd w:val="clear" w:color="auto" w:fill="FFFFFF"/>
            <w:tcMar>
              <w:left w:w="108" w:type="dxa"/>
              <w:right w:w="108" w:type="dxa"/>
            </w:tcMar>
            <w:vAlign w:val="center"/>
          </w:tcPr>
          <w:p w14:paraId="62382CC0">
            <w:pPr>
              <w:snapToGrid w:val="0"/>
              <w:spacing w:line="400" w:lineRule="exact"/>
              <w:jc w:val="center"/>
              <w:rPr>
                <w:rFonts w:eastAsia="方正黑体_GBK" w:cs="方正黑体_GBK"/>
                <w:sz w:val="18"/>
                <w:szCs w:val="18"/>
              </w:rPr>
            </w:pPr>
            <w:r>
              <w:rPr>
                <w:rFonts w:hint="eastAsia" w:eastAsia="方正黑体_GBK" w:cs="方正黑体_GBK"/>
                <w:sz w:val="18"/>
                <w:szCs w:val="18"/>
              </w:rPr>
              <w:t>医疗器械委托生产企业主体责任清单</w:t>
            </w:r>
          </w:p>
        </w:tc>
      </w:tr>
      <w:tr w14:paraId="62ED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blHeader/>
          <w:jc w:val="center"/>
        </w:trPr>
        <w:tc>
          <w:tcPr>
            <w:tcW w:w="752" w:type="dxa"/>
            <w:shd w:val="clear" w:color="auto" w:fill="FFFFFF"/>
            <w:tcMar>
              <w:left w:w="108" w:type="dxa"/>
              <w:right w:w="108" w:type="dxa"/>
            </w:tcMar>
            <w:vAlign w:val="center"/>
          </w:tcPr>
          <w:p w14:paraId="74A897F1">
            <w:pPr>
              <w:snapToGrid w:val="0"/>
              <w:spacing w:line="400" w:lineRule="exact"/>
              <w:jc w:val="center"/>
              <w:rPr>
                <w:rFonts w:eastAsia="方正黑体_GBK" w:cs="方正黑体_GBK"/>
                <w:sz w:val="18"/>
                <w:szCs w:val="18"/>
              </w:rPr>
            </w:pPr>
            <w:r>
              <w:rPr>
                <w:rFonts w:hint="eastAsia" w:eastAsia="方正黑体_GBK" w:cs="方正黑体_GBK"/>
                <w:sz w:val="18"/>
                <w:szCs w:val="18"/>
              </w:rPr>
              <w:t>分类</w:t>
            </w:r>
          </w:p>
        </w:tc>
        <w:tc>
          <w:tcPr>
            <w:tcW w:w="742" w:type="dxa"/>
            <w:shd w:val="clear" w:color="auto" w:fill="FFFFFF"/>
            <w:tcMar>
              <w:left w:w="108" w:type="dxa"/>
              <w:right w:w="108" w:type="dxa"/>
            </w:tcMar>
            <w:vAlign w:val="center"/>
          </w:tcPr>
          <w:p w14:paraId="6B03BD48">
            <w:pPr>
              <w:snapToGrid w:val="0"/>
              <w:spacing w:line="400" w:lineRule="exact"/>
              <w:jc w:val="center"/>
              <w:rPr>
                <w:rFonts w:eastAsia="方正黑体_GBK" w:cs="方正黑体_GBK"/>
                <w:sz w:val="18"/>
                <w:szCs w:val="18"/>
              </w:rPr>
            </w:pPr>
            <w:r>
              <w:rPr>
                <w:rFonts w:hint="eastAsia" w:eastAsia="方正黑体_GBK" w:cs="方正黑体_GBK"/>
                <w:sz w:val="18"/>
                <w:szCs w:val="18"/>
              </w:rPr>
              <w:t>序号</w:t>
            </w:r>
          </w:p>
        </w:tc>
        <w:tc>
          <w:tcPr>
            <w:tcW w:w="8525" w:type="dxa"/>
            <w:shd w:val="clear" w:color="auto" w:fill="FFFFFF"/>
            <w:tcMar>
              <w:left w:w="108" w:type="dxa"/>
              <w:right w:w="108" w:type="dxa"/>
            </w:tcMar>
            <w:vAlign w:val="center"/>
          </w:tcPr>
          <w:p w14:paraId="54B5216E">
            <w:pPr>
              <w:snapToGrid w:val="0"/>
              <w:spacing w:line="400" w:lineRule="exact"/>
              <w:jc w:val="center"/>
              <w:rPr>
                <w:rFonts w:eastAsia="方正黑体_GBK" w:cs="方正黑体_GBK"/>
                <w:sz w:val="18"/>
                <w:szCs w:val="18"/>
              </w:rPr>
            </w:pPr>
            <w:r>
              <w:rPr>
                <w:rFonts w:hint="eastAsia" w:eastAsia="方正黑体_GBK" w:cs="方正黑体_GBK"/>
                <w:sz w:val="18"/>
                <w:szCs w:val="18"/>
              </w:rPr>
              <w:t>主体责任</w:t>
            </w:r>
            <w:bookmarkStart w:id="5" w:name="_GoBack"/>
            <w:bookmarkEnd w:id="5"/>
          </w:p>
        </w:tc>
        <w:tc>
          <w:tcPr>
            <w:tcW w:w="5513" w:type="dxa"/>
            <w:shd w:val="clear" w:color="auto" w:fill="FFFFFF"/>
            <w:tcMar>
              <w:left w:w="108" w:type="dxa"/>
              <w:right w:w="108" w:type="dxa"/>
            </w:tcMar>
            <w:vAlign w:val="center"/>
          </w:tcPr>
          <w:p w14:paraId="2ECF740E">
            <w:pPr>
              <w:snapToGrid w:val="0"/>
              <w:spacing w:line="400" w:lineRule="exact"/>
              <w:jc w:val="center"/>
              <w:rPr>
                <w:rFonts w:eastAsia="方正黑体_GBK" w:cs="方正黑体_GBK"/>
                <w:sz w:val="18"/>
                <w:szCs w:val="18"/>
              </w:rPr>
            </w:pPr>
            <w:r>
              <w:rPr>
                <w:rFonts w:hint="eastAsia" w:eastAsia="方正黑体_GBK" w:cs="方正黑体_GBK"/>
                <w:sz w:val="18"/>
                <w:szCs w:val="18"/>
              </w:rPr>
              <w:t>责任依据</w:t>
            </w:r>
          </w:p>
        </w:tc>
      </w:tr>
      <w:tr w14:paraId="25AE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jc w:val="center"/>
        </w:trPr>
        <w:tc>
          <w:tcPr>
            <w:tcW w:w="752" w:type="dxa"/>
            <w:vMerge w:val="restart"/>
            <w:shd w:val="clear" w:color="auto" w:fill="FFFFFF"/>
            <w:tcMar>
              <w:left w:w="108" w:type="dxa"/>
              <w:right w:w="108" w:type="dxa"/>
            </w:tcMar>
            <w:vAlign w:val="center"/>
          </w:tcPr>
          <w:p w14:paraId="3382B20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生产过程管理</w:t>
            </w:r>
          </w:p>
        </w:tc>
        <w:tc>
          <w:tcPr>
            <w:tcW w:w="742" w:type="dxa"/>
            <w:shd w:val="clear" w:color="auto" w:fill="FFFFFF"/>
            <w:tcMar>
              <w:left w:w="108" w:type="dxa"/>
              <w:right w:w="108" w:type="dxa"/>
            </w:tcMar>
            <w:vAlign w:val="center"/>
          </w:tcPr>
          <w:p w14:paraId="767A866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w:t>
            </w:r>
          </w:p>
        </w:tc>
        <w:tc>
          <w:tcPr>
            <w:tcW w:w="8525" w:type="dxa"/>
            <w:shd w:val="clear" w:color="auto" w:fill="FFFFFF"/>
            <w:tcMar>
              <w:left w:w="108" w:type="dxa"/>
              <w:right w:w="108" w:type="dxa"/>
            </w:tcMar>
            <w:vAlign w:val="center"/>
          </w:tcPr>
          <w:p w14:paraId="394C03A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委托生产医疗器械的，医疗器械注册人、备案人应当对所委托生产的医疗器械质量负责，并加强对受托生产企业生产行为的管理，保证其按照法定要求进行生产。医疗器械注册人、备案人应当与受托生产企业签订委托协议，明确双方权利、义务和责任。受托生产企业应当依照法律法规、医疗器械生产质量管理规范、强制性标准、产品技术要求和委托协议组织生产，对生产行为负责，并接受委托方的监督。</w:t>
            </w:r>
          </w:p>
          <w:p w14:paraId="3C4F506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具有高风险的植入性医疗器械不得委托生产，具体目录由国务院药品监督管理部门制定、调整并公布。</w:t>
            </w:r>
          </w:p>
        </w:tc>
        <w:tc>
          <w:tcPr>
            <w:tcW w:w="5513" w:type="dxa"/>
            <w:shd w:val="clear" w:color="auto" w:fill="FFFFFF"/>
            <w:tcMar>
              <w:left w:w="108" w:type="dxa"/>
              <w:right w:w="108" w:type="dxa"/>
            </w:tcMar>
            <w:vAlign w:val="center"/>
          </w:tcPr>
          <w:p w14:paraId="77CD6BE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《医疗器械监督管理条例》第三十四条。</w:t>
            </w:r>
          </w:p>
        </w:tc>
      </w:tr>
      <w:tr w14:paraId="2AD0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4" w:hRule="atLeast"/>
          <w:jc w:val="center"/>
        </w:trPr>
        <w:tc>
          <w:tcPr>
            <w:tcW w:w="752" w:type="dxa"/>
            <w:vMerge w:val="continue"/>
            <w:shd w:val="clear" w:color="auto" w:fill="FFFFFF"/>
            <w:tcMar>
              <w:left w:w="108" w:type="dxa"/>
              <w:right w:w="108" w:type="dxa"/>
            </w:tcMar>
            <w:vAlign w:val="center"/>
          </w:tcPr>
          <w:p w14:paraId="52C330E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0875D60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w:t>
            </w:r>
          </w:p>
        </w:tc>
        <w:tc>
          <w:tcPr>
            <w:tcW w:w="8525" w:type="dxa"/>
            <w:shd w:val="clear" w:color="auto" w:fill="FFFFFF"/>
            <w:tcMar>
              <w:left w:w="108" w:type="dxa"/>
              <w:right w:w="108" w:type="dxa"/>
            </w:tcMar>
            <w:vAlign w:val="center"/>
          </w:tcPr>
          <w:p w14:paraId="0A9C9A8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医疗器械注册人、备案人、受托生产企业应当按照医疗器械生产质量管理规范，建立健全与所生产医疗器械相适应的质量管理体系并保证其有效运行；严格按照经注册或者备案的产品</w:t>
            </w:r>
            <w:r>
              <w:rPr>
                <w:rFonts w:hint="eastAsia" w:ascii="方正仿宋_GBK" w:hAnsi="方正仿宋_GBK" w:eastAsia="方正仿宋_GBK" w:cs="方正仿宋_GBK"/>
                <w:spacing w:val="-4"/>
                <w:sz w:val="18"/>
                <w:szCs w:val="18"/>
              </w:rPr>
              <w:t>技术要求组织生产，保证出厂的医疗器械符合强制性标准以及经注册或者备案的产品技术要求。</w:t>
            </w:r>
          </w:p>
        </w:tc>
        <w:tc>
          <w:tcPr>
            <w:tcW w:w="5513" w:type="dxa"/>
            <w:shd w:val="clear" w:color="auto" w:fill="FFFFFF"/>
            <w:tcMar>
              <w:left w:w="108" w:type="dxa"/>
              <w:right w:w="108" w:type="dxa"/>
            </w:tcMar>
            <w:vAlign w:val="center"/>
          </w:tcPr>
          <w:p w14:paraId="5EA8431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《医疗器械监督管理条例》第三十五条。</w:t>
            </w:r>
          </w:p>
        </w:tc>
      </w:tr>
      <w:tr w14:paraId="009D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752" w:type="dxa"/>
            <w:vMerge w:val="continue"/>
            <w:shd w:val="clear" w:color="auto" w:fill="FFFFFF"/>
            <w:tcMar>
              <w:left w:w="108" w:type="dxa"/>
              <w:right w:w="108" w:type="dxa"/>
            </w:tcMar>
            <w:vAlign w:val="center"/>
          </w:tcPr>
          <w:p w14:paraId="5A496B0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2B1D7B3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w:t>
            </w:r>
          </w:p>
        </w:tc>
        <w:tc>
          <w:tcPr>
            <w:tcW w:w="8525" w:type="dxa"/>
            <w:shd w:val="clear" w:color="auto" w:fill="FFFFFF"/>
            <w:tcMar>
              <w:left w:w="108" w:type="dxa"/>
              <w:right w:w="108" w:type="dxa"/>
            </w:tcMar>
            <w:vAlign w:val="center"/>
          </w:tcPr>
          <w:p w14:paraId="205F0AD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从事医疗器械生产活动，应当遵守法律、法规、规章、强制性标准和医疗器械</w:t>
            </w:r>
            <w:r>
              <w:rPr>
                <w:rFonts w:hint="eastAsia" w:ascii="方正仿宋_GBK" w:hAnsi="方正仿宋_GBK" w:eastAsia="方正仿宋_GBK" w:cs="方正仿宋_GBK"/>
                <w:spacing w:val="-4"/>
                <w:sz w:val="18"/>
                <w:szCs w:val="18"/>
              </w:rPr>
              <w:t>生产质量管理规范，保证医疗器械生产全过程信息真实、准确、完整和可追溯。</w:t>
            </w:r>
          </w:p>
        </w:tc>
        <w:tc>
          <w:tcPr>
            <w:tcW w:w="5513" w:type="dxa"/>
            <w:shd w:val="clear" w:color="auto" w:fill="FFFFFF"/>
            <w:tcMar>
              <w:left w:w="108" w:type="dxa"/>
              <w:right w:w="108" w:type="dxa"/>
            </w:tcMar>
            <w:vAlign w:val="center"/>
          </w:tcPr>
          <w:p w14:paraId="0EB92C2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《医疗器械生产监督管理办法》第三条。</w:t>
            </w:r>
          </w:p>
        </w:tc>
      </w:tr>
      <w:tr w14:paraId="4F7A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752" w:type="dxa"/>
            <w:vMerge w:val="continue"/>
            <w:shd w:val="clear" w:color="auto" w:fill="FFFFFF"/>
            <w:tcMar>
              <w:left w:w="108" w:type="dxa"/>
              <w:right w:w="108" w:type="dxa"/>
            </w:tcMar>
            <w:vAlign w:val="center"/>
          </w:tcPr>
          <w:p w14:paraId="220A2DC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1B3BD90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w:t>
            </w:r>
          </w:p>
        </w:tc>
        <w:tc>
          <w:tcPr>
            <w:tcW w:w="8525" w:type="dxa"/>
            <w:shd w:val="clear" w:color="auto" w:fill="FFFFFF"/>
            <w:tcMar>
              <w:left w:w="108" w:type="dxa"/>
              <w:right w:w="108" w:type="dxa"/>
            </w:tcMar>
            <w:vAlign w:val="center"/>
          </w:tcPr>
          <w:p w14:paraId="35E86FF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医疗器械注册人、备案人、受托生产企业应当配备管理者代表。管理者代表受法定代表人或者主要负责人委派，履行建立、实施并保持质量管理体系有效运行等责任。</w:t>
            </w:r>
          </w:p>
        </w:tc>
        <w:tc>
          <w:tcPr>
            <w:tcW w:w="5513" w:type="dxa"/>
            <w:shd w:val="clear" w:color="auto" w:fill="FFFFFF"/>
            <w:tcMar>
              <w:left w:w="108" w:type="dxa"/>
              <w:right w:w="108" w:type="dxa"/>
            </w:tcMar>
            <w:vAlign w:val="center"/>
          </w:tcPr>
          <w:p w14:paraId="420DB41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《医疗器械生产监督管理办法》第二十七条。</w:t>
            </w:r>
          </w:p>
        </w:tc>
      </w:tr>
      <w:tr w14:paraId="154D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752" w:type="dxa"/>
            <w:vMerge w:val="continue"/>
            <w:shd w:val="clear" w:color="auto" w:fill="FFFFFF"/>
            <w:tcMar>
              <w:left w:w="108" w:type="dxa"/>
              <w:right w:w="108" w:type="dxa"/>
            </w:tcMar>
            <w:vAlign w:val="center"/>
          </w:tcPr>
          <w:p w14:paraId="78CEE1C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4E37997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8525" w:type="dxa"/>
            <w:shd w:val="clear" w:color="auto" w:fill="FFFFFF"/>
            <w:tcMar>
              <w:left w:w="108" w:type="dxa"/>
              <w:right w:w="108" w:type="dxa"/>
            </w:tcMar>
            <w:vAlign w:val="center"/>
          </w:tcPr>
          <w:p w14:paraId="731E909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医疗器械注册人、备案人、受托生产企业应当开展医疗器械法律、法规、规章、标准以及质量管理等方面的培训，建立培训制度，制定培训计划，加强考核并做好培训记录。</w:t>
            </w:r>
          </w:p>
        </w:tc>
        <w:tc>
          <w:tcPr>
            <w:tcW w:w="5513" w:type="dxa"/>
            <w:shd w:val="clear" w:color="auto" w:fill="FFFFFF"/>
            <w:tcMar>
              <w:left w:w="108" w:type="dxa"/>
              <w:right w:w="108" w:type="dxa"/>
            </w:tcMar>
            <w:vAlign w:val="center"/>
          </w:tcPr>
          <w:p w14:paraId="424AF6F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《医疗器械生产监督管理办法》第二十八条。</w:t>
            </w:r>
          </w:p>
        </w:tc>
      </w:tr>
      <w:tr w14:paraId="5DFB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752" w:type="dxa"/>
            <w:vMerge w:val="continue"/>
            <w:shd w:val="clear" w:color="auto" w:fill="FFFFFF"/>
            <w:tcMar>
              <w:left w:w="108" w:type="dxa"/>
              <w:right w:w="108" w:type="dxa"/>
            </w:tcMar>
            <w:vAlign w:val="center"/>
          </w:tcPr>
          <w:p w14:paraId="0A9FCC9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026724C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8525" w:type="dxa"/>
            <w:shd w:val="clear" w:color="auto" w:fill="FFFFFF"/>
            <w:tcMar>
              <w:left w:w="108" w:type="dxa"/>
              <w:right w:w="108" w:type="dxa"/>
            </w:tcMar>
            <w:vAlign w:val="center"/>
          </w:tcPr>
          <w:p w14:paraId="5B68BC0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医疗器械注册人、备案人、受托生产企业应当按照所生产产品的特性、工艺流程以及生产环境要求合理配备、使用设施设备，加强对设施设备的管理，并保持其有效运行。</w:t>
            </w:r>
          </w:p>
        </w:tc>
        <w:tc>
          <w:tcPr>
            <w:tcW w:w="5513" w:type="dxa"/>
            <w:shd w:val="clear" w:color="auto" w:fill="FFFFFF"/>
            <w:tcMar>
              <w:left w:w="108" w:type="dxa"/>
              <w:right w:w="108" w:type="dxa"/>
            </w:tcMar>
            <w:vAlign w:val="center"/>
          </w:tcPr>
          <w:p w14:paraId="0A59D58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《医疗器械生产监督管理办法》第二十九条。</w:t>
            </w:r>
          </w:p>
        </w:tc>
      </w:tr>
      <w:tr w14:paraId="57B6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0" w:hRule="atLeast"/>
          <w:jc w:val="center"/>
        </w:trPr>
        <w:tc>
          <w:tcPr>
            <w:tcW w:w="752" w:type="dxa"/>
            <w:vMerge w:val="restart"/>
            <w:shd w:val="clear" w:color="auto" w:fill="FFFFFF"/>
            <w:tcMar>
              <w:left w:w="108" w:type="dxa"/>
              <w:right w:w="108" w:type="dxa"/>
            </w:tcMar>
            <w:vAlign w:val="center"/>
          </w:tcPr>
          <w:p w14:paraId="1A1E5D7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生产过程管理</w:t>
            </w:r>
          </w:p>
        </w:tc>
        <w:tc>
          <w:tcPr>
            <w:tcW w:w="742" w:type="dxa"/>
            <w:shd w:val="clear" w:color="auto" w:fill="FFFFFF"/>
            <w:tcMar>
              <w:left w:w="108" w:type="dxa"/>
              <w:right w:w="108" w:type="dxa"/>
            </w:tcMar>
            <w:vAlign w:val="center"/>
          </w:tcPr>
          <w:p w14:paraId="61C3D3B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w:t>
            </w:r>
          </w:p>
        </w:tc>
        <w:tc>
          <w:tcPr>
            <w:tcW w:w="8525" w:type="dxa"/>
            <w:shd w:val="clear" w:color="auto" w:fill="FFFFFF"/>
            <w:tcMar>
              <w:left w:w="108" w:type="dxa"/>
              <w:right w:w="108" w:type="dxa"/>
            </w:tcMar>
            <w:vAlign w:val="center"/>
          </w:tcPr>
          <w:p w14:paraId="61396BC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医疗器械注册人、备案人、受托生产企业应当加强采购管理，建立供应商审核制度，对供应商进行评价，确保采购产品和服务符合相关规定要求。</w:t>
            </w:r>
          </w:p>
          <w:p w14:paraId="4DA31D4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医疗器械注册人、备案人、受托生产企业应当建立原材料采购验收记录制度，确保相关记录真实、准确、完整和可追溯。</w:t>
            </w:r>
          </w:p>
        </w:tc>
        <w:tc>
          <w:tcPr>
            <w:tcW w:w="5513" w:type="dxa"/>
            <w:shd w:val="clear" w:color="auto" w:fill="FFFFFF"/>
            <w:tcMar>
              <w:left w:w="108" w:type="dxa"/>
              <w:right w:w="108" w:type="dxa"/>
            </w:tcMar>
            <w:vAlign w:val="center"/>
          </w:tcPr>
          <w:p w14:paraId="75482BF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《医疗器械生产监督管理办法》第三十一条。</w:t>
            </w:r>
          </w:p>
        </w:tc>
      </w:tr>
      <w:tr w14:paraId="2B04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8" w:hRule="atLeast"/>
          <w:jc w:val="center"/>
        </w:trPr>
        <w:tc>
          <w:tcPr>
            <w:tcW w:w="752" w:type="dxa"/>
            <w:vMerge w:val="continue"/>
            <w:shd w:val="clear" w:color="auto" w:fill="FFFFFF"/>
            <w:tcMar>
              <w:left w:w="108" w:type="dxa"/>
              <w:right w:w="108" w:type="dxa"/>
            </w:tcMar>
            <w:vAlign w:val="center"/>
          </w:tcPr>
          <w:p w14:paraId="169A525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100D93E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8525" w:type="dxa"/>
            <w:shd w:val="clear" w:color="auto" w:fill="FFFFFF"/>
            <w:tcMar>
              <w:left w:w="108" w:type="dxa"/>
              <w:right w:w="108" w:type="dxa"/>
            </w:tcMar>
            <w:vAlign w:val="center"/>
          </w:tcPr>
          <w:p w14:paraId="702771E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委托生产的，应当对受托方的质量保证能力和风险管理能力进行评估，按照国家药品监督管理局制定的委托生产质量协议指南要求，与其签订质量协议以及委托协议，监督受托方履行有关协议约定的义务。</w:t>
            </w:r>
          </w:p>
          <w:p w14:paraId="37C356C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受托生产企业应当按照法律、法规、规章、医疗器械生产质量管理规范、强制性标准、产品技术要求、委托生产质量协议等要求组织生产，对生产行为负责，并接受医疗器械注册人、备案人的监督。</w:t>
            </w:r>
          </w:p>
        </w:tc>
        <w:tc>
          <w:tcPr>
            <w:tcW w:w="5513" w:type="dxa"/>
            <w:shd w:val="clear" w:color="auto" w:fill="FFFFFF"/>
            <w:tcMar>
              <w:left w:w="108" w:type="dxa"/>
              <w:right w:w="108" w:type="dxa"/>
            </w:tcMar>
            <w:vAlign w:val="center"/>
          </w:tcPr>
          <w:p w14:paraId="1637402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《医疗器械生产监督管理办法》第三十二条。</w:t>
            </w:r>
          </w:p>
        </w:tc>
      </w:tr>
      <w:tr w14:paraId="6048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52" w:type="dxa"/>
            <w:vMerge w:val="continue"/>
            <w:shd w:val="clear" w:color="auto" w:fill="FFFFFF"/>
            <w:tcMar>
              <w:left w:w="108" w:type="dxa"/>
              <w:right w:w="108" w:type="dxa"/>
            </w:tcMar>
            <w:vAlign w:val="center"/>
          </w:tcPr>
          <w:p w14:paraId="731E38C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1C41DBE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9</w:t>
            </w:r>
          </w:p>
        </w:tc>
        <w:tc>
          <w:tcPr>
            <w:tcW w:w="8525" w:type="dxa"/>
            <w:shd w:val="clear" w:color="auto" w:fill="FFFFFF"/>
            <w:tcMar>
              <w:left w:w="108" w:type="dxa"/>
              <w:right w:w="108" w:type="dxa"/>
            </w:tcMar>
            <w:vAlign w:val="center"/>
          </w:tcPr>
          <w:p w14:paraId="3D38E8A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医疗器械注册人、备案人、受托生产企业应当建立记录管理制度，确保记录真实、准确、完整和可追溯。</w:t>
            </w:r>
          </w:p>
          <w:p w14:paraId="5A10B7B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鼓励医疗器械注册人、备案人、受托生产企业采用先进技术手段，建立信息化管理系统，加强对生产过程的管理。</w:t>
            </w:r>
          </w:p>
        </w:tc>
        <w:tc>
          <w:tcPr>
            <w:tcW w:w="5513" w:type="dxa"/>
            <w:shd w:val="clear" w:color="auto" w:fill="FFFFFF"/>
            <w:tcMar>
              <w:left w:w="108" w:type="dxa"/>
              <w:right w:w="108" w:type="dxa"/>
            </w:tcMar>
            <w:vAlign w:val="center"/>
          </w:tcPr>
          <w:p w14:paraId="6F28D36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《医疗器械生产监督管理办法》第三十三条。</w:t>
            </w:r>
          </w:p>
        </w:tc>
      </w:tr>
      <w:tr w14:paraId="760E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1" w:hRule="atLeast"/>
          <w:jc w:val="center"/>
        </w:trPr>
        <w:tc>
          <w:tcPr>
            <w:tcW w:w="752" w:type="dxa"/>
            <w:vMerge w:val="continue"/>
            <w:shd w:val="clear" w:color="auto" w:fill="FFFFFF"/>
            <w:tcMar>
              <w:left w:w="108" w:type="dxa"/>
              <w:right w:w="108" w:type="dxa"/>
            </w:tcMar>
            <w:vAlign w:val="center"/>
          </w:tcPr>
          <w:p w14:paraId="0D39F93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3A00086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8525" w:type="dxa"/>
            <w:shd w:val="clear" w:color="auto" w:fill="FFFFFF"/>
            <w:tcMar>
              <w:left w:w="108" w:type="dxa"/>
              <w:right w:w="108" w:type="dxa"/>
            </w:tcMar>
            <w:vAlign w:val="center"/>
          </w:tcPr>
          <w:p w14:paraId="64F5155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应当负责产品上市放行，建立产品上市放行规程，明确放行标准、条件，并对医疗器械生产过程记录和质量检验结果进行审核，符合标准和条件的，经授权的放行人员签字后方可上市。委托生产的，医疗器械注册人、备案人还应当对受托生产企业的生产放行文件进行审核。</w:t>
            </w:r>
          </w:p>
          <w:p w14:paraId="6F1F3CC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受托生产企业应当建立生产放行规程，明确生产放行的标准、条件，确认符合标准、条件的，方可出厂。不符合法律、法规、规章、强制性标准以及经注册或者备案的产品技术要求的，不得放行出厂和上市。</w:t>
            </w:r>
          </w:p>
        </w:tc>
        <w:tc>
          <w:tcPr>
            <w:tcW w:w="5513" w:type="dxa"/>
            <w:shd w:val="clear" w:color="auto" w:fill="FFFFFF"/>
            <w:tcMar>
              <w:left w:w="108" w:type="dxa"/>
              <w:right w:w="108" w:type="dxa"/>
            </w:tcMar>
            <w:vAlign w:val="center"/>
          </w:tcPr>
          <w:p w14:paraId="5EB6B79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《医疗器械生产监督管理办法》第三十四条。</w:t>
            </w:r>
          </w:p>
        </w:tc>
      </w:tr>
      <w:tr w14:paraId="3237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752" w:type="dxa"/>
            <w:vMerge w:val="restart"/>
            <w:shd w:val="clear" w:color="auto" w:fill="FFFFFF"/>
            <w:tcMar>
              <w:left w:w="108" w:type="dxa"/>
              <w:right w:w="108" w:type="dxa"/>
            </w:tcMar>
            <w:vAlign w:val="center"/>
          </w:tcPr>
          <w:p w14:paraId="0A567D4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生产过程管理</w:t>
            </w:r>
          </w:p>
        </w:tc>
        <w:tc>
          <w:tcPr>
            <w:tcW w:w="742" w:type="dxa"/>
            <w:shd w:val="clear" w:color="auto" w:fill="FFFFFF"/>
            <w:tcMar>
              <w:left w:w="108" w:type="dxa"/>
              <w:right w:w="108" w:type="dxa"/>
            </w:tcMar>
            <w:vAlign w:val="center"/>
          </w:tcPr>
          <w:p w14:paraId="7AF1ECC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11</w:t>
            </w:r>
          </w:p>
        </w:tc>
        <w:tc>
          <w:tcPr>
            <w:tcW w:w="8525" w:type="dxa"/>
            <w:shd w:val="clear" w:color="auto" w:fill="FFFFFF"/>
            <w:tcMar>
              <w:left w:w="108" w:type="dxa"/>
              <w:right w:w="108" w:type="dxa"/>
            </w:tcMar>
            <w:vAlign w:val="center"/>
          </w:tcPr>
          <w:p w14:paraId="59CC1127">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医疗器械注册人、备案人应当建立并实施产品追溯制度，保证产品可追溯。受托生产企业应当协助注册人、备案人实施产品追溯。</w:t>
            </w:r>
          </w:p>
        </w:tc>
        <w:tc>
          <w:tcPr>
            <w:tcW w:w="5513" w:type="dxa"/>
            <w:shd w:val="clear" w:color="auto" w:fill="FFFFFF"/>
            <w:tcMar>
              <w:left w:w="108" w:type="dxa"/>
              <w:right w:w="108" w:type="dxa"/>
            </w:tcMar>
            <w:vAlign w:val="center"/>
          </w:tcPr>
          <w:p w14:paraId="22EFFD20">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《医疗器械生产监督管理办法》第三十五条。</w:t>
            </w:r>
          </w:p>
        </w:tc>
      </w:tr>
      <w:tr w14:paraId="2284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752" w:type="dxa"/>
            <w:vMerge w:val="continue"/>
            <w:shd w:val="clear" w:color="auto" w:fill="FFFFFF"/>
            <w:tcMar>
              <w:left w:w="108" w:type="dxa"/>
              <w:right w:w="108" w:type="dxa"/>
            </w:tcMar>
            <w:vAlign w:val="center"/>
          </w:tcPr>
          <w:p w14:paraId="32B6F82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25F8369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12</w:t>
            </w:r>
          </w:p>
        </w:tc>
        <w:tc>
          <w:tcPr>
            <w:tcW w:w="8525" w:type="dxa"/>
            <w:shd w:val="clear" w:color="auto" w:fill="FFFFFF"/>
            <w:tcMar>
              <w:left w:w="108" w:type="dxa"/>
              <w:right w:w="108" w:type="dxa"/>
            </w:tcMar>
            <w:vAlign w:val="center"/>
          </w:tcPr>
          <w:p w14:paraId="70004B6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医疗器械注册人、备案人、受托生产企业应当按照国家实施医疗器械唯一标识的有关要求，开展赋码、数据上传和维护更新，保证信息真实、准确、完整和可追溯。</w:t>
            </w:r>
          </w:p>
        </w:tc>
        <w:tc>
          <w:tcPr>
            <w:tcW w:w="5513" w:type="dxa"/>
            <w:shd w:val="clear" w:color="auto" w:fill="FFFFFF"/>
            <w:tcMar>
              <w:left w:w="108" w:type="dxa"/>
              <w:right w:w="108" w:type="dxa"/>
            </w:tcMar>
            <w:vAlign w:val="center"/>
          </w:tcPr>
          <w:p w14:paraId="3B570F1A">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《医疗器械生产监督管理办法》第三十六条。</w:t>
            </w:r>
          </w:p>
        </w:tc>
      </w:tr>
      <w:tr w14:paraId="706E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3" w:hRule="atLeast"/>
          <w:jc w:val="center"/>
        </w:trPr>
        <w:tc>
          <w:tcPr>
            <w:tcW w:w="752" w:type="dxa"/>
            <w:vMerge w:val="continue"/>
            <w:shd w:val="clear" w:color="auto" w:fill="FFFFFF"/>
            <w:tcMar>
              <w:left w:w="108" w:type="dxa"/>
              <w:right w:w="108" w:type="dxa"/>
            </w:tcMar>
            <w:vAlign w:val="center"/>
          </w:tcPr>
          <w:p w14:paraId="73A3826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3257115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13</w:t>
            </w:r>
          </w:p>
        </w:tc>
        <w:tc>
          <w:tcPr>
            <w:tcW w:w="8525" w:type="dxa"/>
            <w:shd w:val="clear" w:color="auto" w:fill="FFFFFF"/>
            <w:tcMar>
              <w:left w:w="108" w:type="dxa"/>
              <w:right w:w="108" w:type="dxa"/>
            </w:tcMar>
            <w:vAlign w:val="center"/>
          </w:tcPr>
          <w:p w14:paraId="60D92E09">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医疗器械注册人、备案人、受托生产企业应当建立纠正措施程序，确定产生问题的原因，采取有效措施，防止相关问题再次发生。</w:t>
            </w:r>
          </w:p>
          <w:p w14:paraId="4365D257">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医疗器械注册人、备案人、受托生产企业应当建立预防措施程序，查清潜在问题的原因，采取有效措施，防止问题发生。</w:t>
            </w:r>
          </w:p>
        </w:tc>
        <w:tc>
          <w:tcPr>
            <w:tcW w:w="5513" w:type="dxa"/>
            <w:shd w:val="clear" w:color="auto" w:fill="FFFFFF"/>
            <w:tcMar>
              <w:left w:w="108" w:type="dxa"/>
              <w:right w:w="108" w:type="dxa"/>
            </w:tcMar>
            <w:vAlign w:val="center"/>
          </w:tcPr>
          <w:p w14:paraId="2865F91C">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《医疗器械生产监督管理办法》第三十七条。</w:t>
            </w:r>
          </w:p>
        </w:tc>
      </w:tr>
      <w:tr w14:paraId="6EFE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752" w:type="dxa"/>
            <w:vMerge w:val="restart"/>
            <w:shd w:val="clear" w:color="auto" w:fill="FFFFFF"/>
            <w:tcMar>
              <w:left w:w="108" w:type="dxa"/>
              <w:right w:w="108" w:type="dxa"/>
            </w:tcMar>
            <w:vAlign w:val="center"/>
          </w:tcPr>
          <w:p w14:paraId="0CD8CD1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报告责任</w:t>
            </w:r>
          </w:p>
        </w:tc>
        <w:tc>
          <w:tcPr>
            <w:tcW w:w="742" w:type="dxa"/>
            <w:shd w:val="clear" w:color="auto" w:fill="FFFFFF"/>
            <w:tcMar>
              <w:left w:w="108" w:type="dxa"/>
              <w:right w:w="108" w:type="dxa"/>
            </w:tcMar>
            <w:vAlign w:val="center"/>
          </w:tcPr>
          <w:p w14:paraId="02F50EF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14</w:t>
            </w:r>
          </w:p>
        </w:tc>
        <w:tc>
          <w:tcPr>
            <w:tcW w:w="8525" w:type="dxa"/>
            <w:shd w:val="clear" w:color="auto" w:fill="FFFFFF"/>
            <w:tcMar>
              <w:left w:w="108" w:type="dxa"/>
              <w:right w:w="108" w:type="dxa"/>
            </w:tcMar>
            <w:vAlign w:val="center"/>
          </w:tcPr>
          <w:p w14:paraId="2769603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车间或者生产线进行改造，导致生产条件发生变化，可能影响医疗器械安全、有效的，应当向原发证部门报告。属于许可事项变化的，应当按照规定办理相关许可变更手续。</w:t>
            </w:r>
          </w:p>
        </w:tc>
        <w:tc>
          <w:tcPr>
            <w:tcW w:w="5513" w:type="dxa"/>
            <w:shd w:val="clear" w:color="auto" w:fill="FFFFFF"/>
            <w:tcMar>
              <w:left w:w="108" w:type="dxa"/>
              <w:right w:w="108" w:type="dxa"/>
            </w:tcMar>
            <w:vAlign w:val="center"/>
          </w:tcPr>
          <w:p w14:paraId="5F7649A4">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《医疗器械生产监督管理办法》第十五条。</w:t>
            </w:r>
          </w:p>
        </w:tc>
      </w:tr>
      <w:tr w14:paraId="36F5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752" w:type="dxa"/>
            <w:vMerge w:val="continue"/>
            <w:shd w:val="clear" w:color="auto" w:fill="FFFFFF"/>
            <w:tcMar>
              <w:left w:w="108" w:type="dxa"/>
              <w:right w:w="108" w:type="dxa"/>
            </w:tcMar>
            <w:vAlign w:val="center"/>
          </w:tcPr>
          <w:p w14:paraId="56F990A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1B72945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15</w:t>
            </w:r>
          </w:p>
        </w:tc>
        <w:tc>
          <w:tcPr>
            <w:tcW w:w="8525" w:type="dxa"/>
            <w:shd w:val="clear" w:color="auto" w:fill="FFFFFF"/>
            <w:tcMar>
              <w:left w:w="108" w:type="dxa"/>
              <w:right w:w="108" w:type="dxa"/>
            </w:tcMar>
            <w:vAlign w:val="center"/>
          </w:tcPr>
          <w:p w14:paraId="124D7595">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医疗器械注册人、备案人、受托生产企业应当按照医疗器械不良事件监测相关规定落实不良事件监测责任，开展不良事件监测，向医疗器械不良事件监测技术机构报告调查、分析、评价、产品风险控制等情况。</w:t>
            </w:r>
          </w:p>
        </w:tc>
        <w:tc>
          <w:tcPr>
            <w:tcW w:w="5513" w:type="dxa"/>
            <w:shd w:val="clear" w:color="auto" w:fill="FFFFFF"/>
            <w:tcMar>
              <w:left w:w="108" w:type="dxa"/>
              <w:right w:w="108" w:type="dxa"/>
            </w:tcMar>
            <w:vAlign w:val="center"/>
          </w:tcPr>
          <w:p w14:paraId="1CD7D90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《医疗器械生产监督管理办法》第四十条。</w:t>
            </w:r>
          </w:p>
        </w:tc>
      </w:tr>
      <w:tr w14:paraId="1126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52" w:type="dxa"/>
            <w:vMerge w:val="continue"/>
            <w:shd w:val="clear" w:color="auto" w:fill="FFFFFF"/>
            <w:tcMar>
              <w:left w:w="108" w:type="dxa"/>
              <w:right w:w="108" w:type="dxa"/>
            </w:tcMar>
            <w:vAlign w:val="center"/>
          </w:tcPr>
          <w:p w14:paraId="5899EF7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3CD8D18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16</w:t>
            </w:r>
          </w:p>
        </w:tc>
        <w:tc>
          <w:tcPr>
            <w:tcW w:w="8525" w:type="dxa"/>
            <w:shd w:val="clear" w:color="auto" w:fill="FFFFFF"/>
            <w:tcMar>
              <w:left w:w="108" w:type="dxa"/>
              <w:right w:w="108" w:type="dxa"/>
            </w:tcMar>
            <w:vAlign w:val="center"/>
          </w:tcPr>
          <w:p w14:paraId="1F1B030D">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医疗器械生产企业应当向药品监督管理部门报告所生产的产品品种情况。</w:t>
            </w:r>
          </w:p>
          <w:p w14:paraId="0B1F4EFF">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增加生产产品品种的，应当向原生产许可或者生产备案部门报告，涉及委托生产的，还应当提供委托方、受托生产产品、受托期限等信息。</w:t>
            </w:r>
          </w:p>
          <w:p w14:paraId="4AF97EAB">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医疗器械生产企业增加生产产品涉及生产条件变化，可能影响产品安全、有效的，应当在增加生产产品30个工作日前向原生产许可部门报告。</w:t>
            </w:r>
          </w:p>
        </w:tc>
        <w:tc>
          <w:tcPr>
            <w:tcW w:w="5513" w:type="dxa"/>
            <w:shd w:val="clear" w:color="auto" w:fill="FFFFFF"/>
            <w:tcMar>
              <w:left w:w="108" w:type="dxa"/>
              <w:right w:w="108" w:type="dxa"/>
            </w:tcMar>
            <w:vAlign w:val="center"/>
          </w:tcPr>
          <w:p w14:paraId="441A89CA">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《医疗器械生产监督管理办法》第四十二条。</w:t>
            </w:r>
          </w:p>
        </w:tc>
      </w:tr>
      <w:tr w14:paraId="6540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752" w:type="dxa"/>
            <w:vMerge w:val="continue"/>
            <w:shd w:val="clear" w:color="auto" w:fill="FFFFFF"/>
            <w:tcMar>
              <w:left w:w="108" w:type="dxa"/>
              <w:right w:w="108" w:type="dxa"/>
            </w:tcMar>
            <w:vAlign w:val="center"/>
          </w:tcPr>
          <w:p w14:paraId="08BEB17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60B3259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17</w:t>
            </w:r>
          </w:p>
        </w:tc>
        <w:tc>
          <w:tcPr>
            <w:tcW w:w="8525" w:type="dxa"/>
            <w:shd w:val="clear" w:color="auto" w:fill="FFFFFF"/>
            <w:tcMar>
              <w:left w:w="108" w:type="dxa"/>
              <w:right w:w="108" w:type="dxa"/>
            </w:tcMar>
            <w:vAlign w:val="center"/>
          </w:tcPr>
          <w:p w14:paraId="5321B83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医疗器械生产企业连续停产一年以上且无同类产品在产的，重新生产时，应当进行必要的验证和确认，并书面报告药品监督管理部门。可能影响质量安全的，药品监督管理部门可以根据需要组织核查。</w:t>
            </w:r>
          </w:p>
        </w:tc>
        <w:tc>
          <w:tcPr>
            <w:tcW w:w="5513" w:type="dxa"/>
            <w:shd w:val="clear" w:color="auto" w:fill="FFFFFF"/>
            <w:tcMar>
              <w:left w:w="108" w:type="dxa"/>
              <w:right w:w="108" w:type="dxa"/>
            </w:tcMar>
            <w:vAlign w:val="center"/>
          </w:tcPr>
          <w:p w14:paraId="61732E42">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《医疗器械生产监督管理办法》第四十三条。</w:t>
            </w:r>
          </w:p>
        </w:tc>
      </w:tr>
      <w:tr w14:paraId="239A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1" w:hRule="atLeast"/>
          <w:jc w:val="center"/>
        </w:trPr>
        <w:tc>
          <w:tcPr>
            <w:tcW w:w="752" w:type="dxa"/>
            <w:vMerge w:val="restart"/>
            <w:shd w:val="clear" w:color="auto" w:fill="FFFFFF"/>
            <w:tcMar>
              <w:left w:w="108" w:type="dxa"/>
              <w:right w:w="108" w:type="dxa"/>
            </w:tcMar>
            <w:vAlign w:val="center"/>
          </w:tcPr>
          <w:p w14:paraId="435EC2D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报告责任</w:t>
            </w:r>
          </w:p>
        </w:tc>
        <w:tc>
          <w:tcPr>
            <w:tcW w:w="742" w:type="dxa"/>
            <w:shd w:val="clear" w:color="auto" w:fill="FFFFFF"/>
            <w:tcMar>
              <w:left w:w="108" w:type="dxa"/>
              <w:right w:w="108" w:type="dxa"/>
            </w:tcMar>
            <w:vAlign w:val="center"/>
          </w:tcPr>
          <w:p w14:paraId="4F71CAA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18</w:t>
            </w:r>
          </w:p>
        </w:tc>
        <w:tc>
          <w:tcPr>
            <w:tcW w:w="8525" w:type="dxa"/>
            <w:shd w:val="clear" w:color="auto" w:fill="FFFFFF"/>
            <w:tcMar>
              <w:left w:w="108" w:type="dxa"/>
              <w:right w:w="108" w:type="dxa"/>
            </w:tcMar>
            <w:vAlign w:val="center"/>
          </w:tcPr>
          <w:p w14:paraId="0E6CDDAA">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医疗器械的生产条件发生变化，不再符合医疗器械质量管理体系要求的，医疗</w:t>
            </w:r>
            <w:r>
              <w:rPr>
                <w:rFonts w:hint="eastAsia" w:ascii="方正仿宋_GBK" w:hAnsi="方正仿宋_GBK" w:eastAsia="方正仿宋_GBK" w:cs="方正仿宋_GBK"/>
                <w:spacing w:val="-6"/>
                <w:sz w:val="18"/>
                <w:szCs w:val="18"/>
              </w:rPr>
              <w:t>器械注册人、备案人、受托生产企业应当立即采取整改措施；可能影响医疗器械安全、有效的，应当立即停止生产活动，并向原生产许可或者生产备案部门报告。</w:t>
            </w:r>
          </w:p>
          <w:p w14:paraId="5041E4D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受托生产企业应当及时将变化情况告知医疗器械注册人、备案人。</w:t>
            </w:r>
          </w:p>
        </w:tc>
        <w:tc>
          <w:tcPr>
            <w:tcW w:w="5513" w:type="dxa"/>
            <w:shd w:val="clear" w:color="auto" w:fill="FFFFFF"/>
            <w:tcMar>
              <w:left w:w="108" w:type="dxa"/>
              <w:right w:w="108" w:type="dxa"/>
            </w:tcMar>
            <w:vAlign w:val="center"/>
          </w:tcPr>
          <w:p w14:paraId="23D4B52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《医疗器械监督管理条例》第三十六条；《医疗器械生产监督管理办法》第四十四条。</w:t>
            </w:r>
          </w:p>
        </w:tc>
      </w:tr>
      <w:tr w14:paraId="3EBF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752" w:type="dxa"/>
            <w:vMerge w:val="continue"/>
            <w:shd w:val="clear" w:color="auto" w:fill="FFFFFF"/>
            <w:tcMar>
              <w:left w:w="108" w:type="dxa"/>
              <w:right w:w="108" w:type="dxa"/>
            </w:tcMar>
            <w:vAlign w:val="center"/>
          </w:tcPr>
          <w:p w14:paraId="760D85A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16904B4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19</w:t>
            </w:r>
          </w:p>
        </w:tc>
        <w:tc>
          <w:tcPr>
            <w:tcW w:w="8525" w:type="dxa"/>
            <w:shd w:val="clear" w:color="auto" w:fill="FFFFFF"/>
            <w:tcMar>
              <w:left w:w="108" w:type="dxa"/>
              <w:right w:w="108" w:type="dxa"/>
            </w:tcMar>
            <w:vAlign w:val="center"/>
          </w:tcPr>
          <w:p w14:paraId="7AE403A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受托生产企业应当每年对质量管理体系的运行情况进行自查，并于次年3月31日前向所在地药品监督管理部门提交自查报告。进口医疗器械注册人、备案人由其代理人向代理人所在地省、自治区、直辖市药品监督管理部门提交自查报告。</w:t>
            </w:r>
          </w:p>
        </w:tc>
        <w:tc>
          <w:tcPr>
            <w:tcW w:w="5513" w:type="dxa"/>
            <w:shd w:val="clear" w:color="auto" w:fill="FFFFFF"/>
            <w:tcMar>
              <w:left w:w="108" w:type="dxa"/>
              <w:right w:w="108" w:type="dxa"/>
            </w:tcMar>
            <w:vAlign w:val="center"/>
          </w:tcPr>
          <w:p w14:paraId="1D45E859">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《医疗器械生产监督管理办法》第四十五条。</w:t>
            </w:r>
          </w:p>
        </w:tc>
      </w:tr>
      <w:tr w14:paraId="69DD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atLeast"/>
          <w:jc w:val="center"/>
        </w:trPr>
        <w:tc>
          <w:tcPr>
            <w:tcW w:w="752" w:type="dxa"/>
            <w:shd w:val="clear" w:color="auto" w:fill="FFFFFF"/>
            <w:tcMar>
              <w:left w:w="108" w:type="dxa"/>
              <w:right w:w="108" w:type="dxa"/>
            </w:tcMar>
            <w:vAlign w:val="center"/>
          </w:tcPr>
          <w:p w14:paraId="3C6E83F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说明书管理</w:t>
            </w:r>
          </w:p>
        </w:tc>
        <w:tc>
          <w:tcPr>
            <w:tcW w:w="742" w:type="dxa"/>
            <w:shd w:val="clear" w:color="auto" w:fill="FFFFFF"/>
            <w:tcMar>
              <w:left w:w="108" w:type="dxa"/>
              <w:right w:w="108" w:type="dxa"/>
            </w:tcMar>
            <w:vAlign w:val="center"/>
          </w:tcPr>
          <w:p w14:paraId="379A930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20</w:t>
            </w:r>
          </w:p>
        </w:tc>
        <w:tc>
          <w:tcPr>
            <w:tcW w:w="8525" w:type="dxa"/>
            <w:shd w:val="clear" w:color="auto" w:fill="FFFFFF"/>
            <w:tcMar>
              <w:left w:w="108" w:type="dxa"/>
              <w:right w:w="108" w:type="dxa"/>
            </w:tcMar>
            <w:vAlign w:val="center"/>
          </w:tcPr>
          <w:p w14:paraId="66D49374">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医疗器械应当有说明书、标签。说明书、标签的内容应当与经注册或者备案的相关内容一致，确保真实、准确。医疗器械的说明书、标签应当标明下列事项：</w:t>
            </w:r>
          </w:p>
          <w:p w14:paraId="3353F8E9">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（一）通用名称、型号、规格；</w:t>
            </w:r>
          </w:p>
          <w:p w14:paraId="4E776D2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（二）医疗器械注册人、备案人、受托生产企业的名称、地址以及联系方式；</w:t>
            </w:r>
          </w:p>
          <w:p w14:paraId="3EBB5886">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（三）生产日期，使用期限或者失效日期；</w:t>
            </w:r>
          </w:p>
          <w:p w14:paraId="19934ED0">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（四）产品性能、主要结构、适用范围；</w:t>
            </w:r>
          </w:p>
          <w:p w14:paraId="2C7EF665">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（五）禁忌、注意事项以及其他需要警示或者提示的内容；</w:t>
            </w:r>
          </w:p>
          <w:p w14:paraId="240E60A6">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（六）安装和使用说明或者图示；</w:t>
            </w:r>
          </w:p>
          <w:p w14:paraId="69B54532">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（七）维护和保养方法，特殊运输、贮存的条件、方法；</w:t>
            </w:r>
          </w:p>
          <w:p w14:paraId="4B69590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（八）产品技术要求规定应当标明的其他内容。</w:t>
            </w:r>
          </w:p>
          <w:p w14:paraId="3B04226C">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第二类、第三类医疗器械还应当标明医疗器械注册证编号。</w:t>
            </w:r>
          </w:p>
          <w:p w14:paraId="2E6DAF1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由消费者个人自行使用的医疗器械还应当具有安全使用的特别说明。</w:t>
            </w:r>
          </w:p>
        </w:tc>
        <w:tc>
          <w:tcPr>
            <w:tcW w:w="5513" w:type="dxa"/>
            <w:shd w:val="clear" w:color="auto" w:fill="FFFFFF"/>
            <w:tcMar>
              <w:left w:w="108" w:type="dxa"/>
              <w:right w:w="108" w:type="dxa"/>
            </w:tcMar>
            <w:vAlign w:val="center"/>
          </w:tcPr>
          <w:p w14:paraId="4F14AB2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《医疗器械监督管理条例》第三十九条。</w:t>
            </w:r>
          </w:p>
        </w:tc>
      </w:tr>
      <w:tr w14:paraId="531B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752" w:type="dxa"/>
            <w:vMerge w:val="restart"/>
            <w:shd w:val="clear" w:color="auto" w:fill="FFFFFF"/>
            <w:tcMar>
              <w:left w:w="108" w:type="dxa"/>
              <w:right w:w="108" w:type="dxa"/>
            </w:tcMar>
            <w:vAlign w:val="center"/>
          </w:tcPr>
          <w:p w14:paraId="07AB685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不良事件监测和产品再评价</w:t>
            </w:r>
          </w:p>
        </w:tc>
        <w:tc>
          <w:tcPr>
            <w:tcW w:w="742" w:type="dxa"/>
            <w:shd w:val="clear" w:color="auto" w:fill="FFFFFF"/>
            <w:tcMar>
              <w:left w:w="108" w:type="dxa"/>
              <w:right w:w="108" w:type="dxa"/>
            </w:tcMar>
            <w:vAlign w:val="center"/>
          </w:tcPr>
          <w:p w14:paraId="736F0F5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21</w:t>
            </w:r>
          </w:p>
        </w:tc>
        <w:tc>
          <w:tcPr>
            <w:tcW w:w="8525" w:type="dxa"/>
            <w:shd w:val="clear" w:color="auto" w:fill="FFFFFF"/>
            <w:tcMar>
              <w:left w:w="108" w:type="dxa"/>
              <w:right w:w="108" w:type="dxa"/>
            </w:tcMar>
            <w:vAlign w:val="center"/>
          </w:tcPr>
          <w:p w14:paraId="55CF739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医疗器械注册人、备案人、生产经营企业、使用单位应当对医疗器械不良事件监测技术机构、负责药品监督管理的部门、卫生主管部门开展的医疗器械不良事件调查予以配合。</w:t>
            </w:r>
          </w:p>
        </w:tc>
        <w:tc>
          <w:tcPr>
            <w:tcW w:w="5513" w:type="dxa"/>
            <w:shd w:val="clear" w:color="auto" w:fill="FFFFFF"/>
            <w:tcMar>
              <w:left w:w="108" w:type="dxa"/>
              <w:right w:w="108" w:type="dxa"/>
            </w:tcMar>
            <w:vAlign w:val="center"/>
          </w:tcPr>
          <w:p w14:paraId="1734500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《医疗器械监督管理条例》第六十五条。</w:t>
            </w:r>
          </w:p>
        </w:tc>
      </w:tr>
      <w:tr w14:paraId="294A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0" w:hRule="atLeast"/>
          <w:jc w:val="center"/>
        </w:trPr>
        <w:tc>
          <w:tcPr>
            <w:tcW w:w="752" w:type="dxa"/>
            <w:vMerge w:val="continue"/>
            <w:shd w:val="clear" w:color="auto" w:fill="FFFFFF"/>
            <w:tcMar>
              <w:left w:w="108" w:type="dxa"/>
              <w:right w:w="108" w:type="dxa"/>
            </w:tcMar>
            <w:vAlign w:val="center"/>
          </w:tcPr>
          <w:p w14:paraId="66AFB64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shd w:val="clear" w:color="auto" w:fill="FFFFFF"/>
            <w:tcMar>
              <w:left w:w="108" w:type="dxa"/>
              <w:right w:w="108" w:type="dxa"/>
            </w:tcMar>
            <w:vAlign w:val="center"/>
          </w:tcPr>
          <w:p w14:paraId="3D3B0B9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22</w:t>
            </w:r>
          </w:p>
        </w:tc>
        <w:tc>
          <w:tcPr>
            <w:tcW w:w="8525" w:type="dxa"/>
            <w:shd w:val="clear" w:color="auto" w:fill="FFFFFF"/>
            <w:tcMar>
              <w:left w:w="108" w:type="dxa"/>
              <w:right w:w="108" w:type="dxa"/>
            </w:tcMar>
            <w:vAlign w:val="center"/>
          </w:tcPr>
          <w:p w14:paraId="0CFA07B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有下列情形之一的，医疗器械注册人、备案人应当主动开展已上市医疗器械再评价：</w:t>
            </w:r>
          </w:p>
          <w:p w14:paraId="3C61322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（一）根据科学研究的发展，对医疗器械的安全、有效有认识上的改变；</w:t>
            </w:r>
          </w:p>
          <w:p w14:paraId="4729F4F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（二）医疗器械不良事件监测、评估结果表明医疗器械可能存在缺陷；</w:t>
            </w:r>
          </w:p>
          <w:p w14:paraId="060ADF6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（三）国务院药品监督管理部门规定的其他情形。</w:t>
            </w:r>
          </w:p>
          <w:p w14:paraId="7CE7604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注册人、备案人应当根据再评价结果，采取相应控制措施，对已上市医疗器械进行改进，并按照规定进行注册变更或者备案变更。再评价结果表明已上市医疗器械不能保证安全、有效的，医疗器械注册人、备案人应当主动申请注销医疗器械注册证或者取消备案；医疗器械注册人、备案人未申请注销医疗器械注册证或者取消备案的，由负责药品监督管理的部门注销医疗器械注册证或者取消备案。</w:t>
            </w:r>
          </w:p>
        </w:tc>
        <w:tc>
          <w:tcPr>
            <w:tcW w:w="5513" w:type="dxa"/>
            <w:shd w:val="clear" w:color="auto" w:fill="FFFFFF"/>
            <w:tcMar>
              <w:left w:w="108" w:type="dxa"/>
              <w:right w:w="108" w:type="dxa"/>
            </w:tcMar>
            <w:vAlign w:val="center"/>
          </w:tcPr>
          <w:p w14:paraId="18C7B02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《医疗器械监督管理条例》第六十六条。</w:t>
            </w:r>
          </w:p>
        </w:tc>
      </w:tr>
      <w:tr w14:paraId="49CC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6" w:hRule="atLeast"/>
          <w:jc w:val="center"/>
        </w:trPr>
        <w:tc>
          <w:tcPr>
            <w:tcW w:w="752" w:type="dxa"/>
            <w:shd w:val="clear" w:color="auto" w:fill="FFFFFF"/>
            <w:tcMar>
              <w:left w:w="108" w:type="dxa"/>
              <w:right w:w="108" w:type="dxa"/>
            </w:tcMar>
            <w:vAlign w:val="center"/>
          </w:tcPr>
          <w:p w14:paraId="6646293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产品质量追踪</w:t>
            </w:r>
          </w:p>
        </w:tc>
        <w:tc>
          <w:tcPr>
            <w:tcW w:w="742" w:type="dxa"/>
            <w:shd w:val="clear" w:color="auto" w:fill="FFFFFF"/>
            <w:tcMar>
              <w:left w:w="108" w:type="dxa"/>
              <w:right w:w="108" w:type="dxa"/>
            </w:tcMar>
            <w:vAlign w:val="center"/>
          </w:tcPr>
          <w:p w14:paraId="5ED7FA8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23</w:t>
            </w:r>
          </w:p>
        </w:tc>
        <w:tc>
          <w:tcPr>
            <w:tcW w:w="8525" w:type="dxa"/>
            <w:shd w:val="clear" w:color="auto" w:fill="FFFFFF"/>
            <w:tcMar>
              <w:left w:w="108" w:type="dxa"/>
              <w:right w:w="108" w:type="dxa"/>
            </w:tcMar>
            <w:vAlign w:val="center"/>
          </w:tcPr>
          <w:p w14:paraId="3DDAFC5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受托生产企业、经营企业发现生产、经营的医疗器械存在前款规定情形的，应当立即停止生产、经营，通知医疗器械注册人、备案人，并记录停止生产、经营和通知情况。医疗器械注册人、备案人认为属于依照前款规定需要召回的医疗器械，应当立即召回。</w:t>
            </w:r>
          </w:p>
        </w:tc>
        <w:tc>
          <w:tcPr>
            <w:tcW w:w="5513" w:type="dxa"/>
            <w:shd w:val="clear" w:color="auto" w:fill="FFFFFF"/>
            <w:tcMar>
              <w:left w:w="108" w:type="dxa"/>
              <w:right w:w="108" w:type="dxa"/>
            </w:tcMar>
            <w:vAlign w:val="center"/>
          </w:tcPr>
          <w:p w14:paraId="35B6C3B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《医疗器械监督管理条例》第六十七条。</w:t>
            </w:r>
          </w:p>
        </w:tc>
      </w:tr>
    </w:tbl>
    <w:p w14:paraId="075B0EF6">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p>
    <w:tbl>
      <w:tblPr>
        <w:tblStyle w:val="9"/>
        <w:tblW w:w="15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742"/>
        <w:gridCol w:w="8525"/>
        <w:gridCol w:w="5522"/>
      </w:tblGrid>
      <w:tr w14:paraId="3481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blHeader/>
          <w:jc w:val="center"/>
        </w:trPr>
        <w:tc>
          <w:tcPr>
            <w:tcW w:w="761" w:type="dxa"/>
            <w:vAlign w:val="center"/>
          </w:tcPr>
          <w:p w14:paraId="12D137F8">
            <w:pPr>
              <w:snapToGrid w:val="0"/>
              <w:spacing w:line="400" w:lineRule="exact"/>
              <w:jc w:val="center"/>
              <w:textAlignment w:val="center"/>
              <w:rPr>
                <w:rFonts w:eastAsia="方正黑体_GBK" w:cs="黑体"/>
                <w:bCs/>
                <w:kern w:val="0"/>
                <w:sz w:val="18"/>
                <w:szCs w:val="18"/>
              </w:rPr>
            </w:pPr>
            <w:r>
              <w:rPr>
                <w:rFonts w:hint="eastAsia" w:eastAsia="方正黑体_GBK" w:cs="黑体"/>
                <w:bCs/>
                <w:kern w:val="0"/>
                <w:sz w:val="18"/>
                <w:szCs w:val="18"/>
              </w:rPr>
              <w:t>表8</w:t>
            </w:r>
          </w:p>
        </w:tc>
        <w:tc>
          <w:tcPr>
            <w:tcW w:w="14789" w:type="dxa"/>
            <w:gridSpan w:val="3"/>
            <w:vAlign w:val="center"/>
          </w:tcPr>
          <w:p w14:paraId="172665D9">
            <w:pPr>
              <w:snapToGrid w:val="0"/>
              <w:spacing w:line="400" w:lineRule="exact"/>
              <w:jc w:val="center"/>
              <w:textAlignment w:val="center"/>
              <w:rPr>
                <w:rFonts w:eastAsia="方正黑体_GBK" w:cs="黑体"/>
                <w:bCs/>
                <w:kern w:val="0"/>
                <w:sz w:val="18"/>
                <w:szCs w:val="18"/>
              </w:rPr>
            </w:pPr>
            <w:r>
              <w:rPr>
                <w:rFonts w:hint="eastAsia" w:eastAsia="方正黑体_GBK" w:cs="方正小标宋_GBK"/>
                <w:bCs/>
                <w:kern w:val="0"/>
                <w:sz w:val="18"/>
                <w:szCs w:val="18"/>
                <w:lang w:bidi="ar"/>
              </w:rPr>
              <w:t>化妆品注册人、备案人（委托生产）主体责任清单</w:t>
            </w:r>
          </w:p>
        </w:tc>
      </w:tr>
      <w:tr w14:paraId="4B01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jc w:val="center"/>
        </w:trPr>
        <w:tc>
          <w:tcPr>
            <w:tcW w:w="761" w:type="dxa"/>
            <w:vAlign w:val="center"/>
          </w:tcPr>
          <w:p w14:paraId="4A748D7D">
            <w:pPr>
              <w:snapToGrid w:val="0"/>
              <w:spacing w:line="400" w:lineRule="exact"/>
              <w:jc w:val="center"/>
              <w:textAlignment w:val="center"/>
              <w:rPr>
                <w:rFonts w:eastAsia="方正黑体_GBK" w:cs="黑体"/>
                <w:bCs/>
                <w:kern w:val="0"/>
                <w:sz w:val="18"/>
                <w:szCs w:val="18"/>
              </w:rPr>
            </w:pPr>
            <w:r>
              <w:rPr>
                <w:rFonts w:hint="eastAsia" w:eastAsia="方正黑体_GBK" w:cs="黑体"/>
                <w:bCs/>
                <w:kern w:val="0"/>
                <w:sz w:val="18"/>
                <w:szCs w:val="18"/>
              </w:rPr>
              <w:t>分类</w:t>
            </w:r>
          </w:p>
        </w:tc>
        <w:tc>
          <w:tcPr>
            <w:tcW w:w="742" w:type="dxa"/>
            <w:vAlign w:val="center"/>
          </w:tcPr>
          <w:p w14:paraId="6F96E027">
            <w:pPr>
              <w:snapToGrid w:val="0"/>
              <w:spacing w:line="400" w:lineRule="exact"/>
              <w:jc w:val="center"/>
              <w:textAlignment w:val="center"/>
              <w:rPr>
                <w:rFonts w:eastAsia="方正黑体_GBK" w:cs="黑体"/>
                <w:bCs/>
                <w:kern w:val="0"/>
                <w:sz w:val="18"/>
                <w:szCs w:val="18"/>
              </w:rPr>
            </w:pPr>
            <w:r>
              <w:rPr>
                <w:rFonts w:hint="eastAsia" w:eastAsia="方正黑体_GBK" w:cs="黑体"/>
                <w:bCs/>
                <w:kern w:val="0"/>
                <w:sz w:val="18"/>
                <w:szCs w:val="18"/>
              </w:rPr>
              <w:t>序号</w:t>
            </w:r>
          </w:p>
        </w:tc>
        <w:tc>
          <w:tcPr>
            <w:tcW w:w="8525" w:type="dxa"/>
            <w:vAlign w:val="center"/>
          </w:tcPr>
          <w:p w14:paraId="442E42B9">
            <w:pPr>
              <w:snapToGrid w:val="0"/>
              <w:spacing w:line="400" w:lineRule="exact"/>
              <w:jc w:val="center"/>
              <w:textAlignment w:val="center"/>
              <w:rPr>
                <w:rFonts w:eastAsia="方正黑体_GBK" w:cs="黑体"/>
                <w:bCs/>
                <w:kern w:val="0"/>
                <w:sz w:val="18"/>
                <w:szCs w:val="18"/>
              </w:rPr>
            </w:pPr>
            <w:r>
              <w:rPr>
                <w:rFonts w:hint="eastAsia" w:eastAsia="方正黑体_GBK" w:cs="黑体"/>
                <w:bCs/>
                <w:kern w:val="0"/>
                <w:sz w:val="18"/>
                <w:szCs w:val="18"/>
              </w:rPr>
              <w:t>主体责任</w:t>
            </w:r>
          </w:p>
        </w:tc>
        <w:tc>
          <w:tcPr>
            <w:tcW w:w="5522" w:type="dxa"/>
            <w:vAlign w:val="center"/>
          </w:tcPr>
          <w:p w14:paraId="1383AAFB">
            <w:pPr>
              <w:snapToGrid w:val="0"/>
              <w:spacing w:line="400" w:lineRule="exact"/>
              <w:jc w:val="center"/>
              <w:textAlignment w:val="center"/>
              <w:rPr>
                <w:rFonts w:eastAsia="方正黑体_GBK" w:cs="黑体"/>
                <w:bCs/>
                <w:kern w:val="0"/>
                <w:sz w:val="18"/>
                <w:szCs w:val="18"/>
              </w:rPr>
            </w:pPr>
            <w:r>
              <w:rPr>
                <w:rFonts w:hint="eastAsia" w:eastAsia="方正黑体_GBK" w:cs="黑体"/>
                <w:bCs/>
                <w:kern w:val="0"/>
                <w:sz w:val="18"/>
                <w:szCs w:val="18"/>
              </w:rPr>
              <w:t>责任依据</w:t>
            </w:r>
          </w:p>
        </w:tc>
      </w:tr>
      <w:tr w14:paraId="5EBB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61" w:type="dxa"/>
            <w:vAlign w:val="center"/>
          </w:tcPr>
          <w:p w14:paraId="7346F895">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主体</w:t>
            </w:r>
          </w:p>
          <w:p w14:paraId="5941DBAD">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资格</w:t>
            </w:r>
          </w:p>
        </w:tc>
        <w:tc>
          <w:tcPr>
            <w:tcW w:w="742" w:type="dxa"/>
            <w:vAlign w:val="center"/>
          </w:tcPr>
          <w:p w14:paraId="5AC7AB13">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1</w:t>
            </w:r>
          </w:p>
        </w:tc>
        <w:tc>
          <w:tcPr>
            <w:tcW w:w="8525" w:type="dxa"/>
            <w:vAlign w:val="center"/>
          </w:tcPr>
          <w:p w14:paraId="09B6B591">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pacing w:val="-4"/>
                <w:kern w:val="0"/>
                <w:sz w:val="18"/>
                <w:szCs w:val="18"/>
              </w:rPr>
            </w:pPr>
            <w:r>
              <w:rPr>
                <w:rFonts w:hint="eastAsia" w:ascii="方正仿宋_GBK" w:hAnsi="方正仿宋_GBK" w:eastAsia="方正仿宋_GBK" w:cs="方正仿宋_GBK"/>
                <w:bCs/>
                <w:kern w:val="0"/>
                <w:sz w:val="18"/>
                <w:szCs w:val="18"/>
                <w:lang w:bidi="ar"/>
              </w:rPr>
              <w:t>是依法设立的企业或者其他组织，应当依法办理市场主体登记。</w:t>
            </w:r>
          </w:p>
        </w:tc>
        <w:tc>
          <w:tcPr>
            <w:tcW w:w="5522" w:type="dxa"/>
            <w:vAlign w:val="center"/>
          </w:tcPr>
          <w:p w14:paraId="1F45653D">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《中华人民共和国市场主体登记管理条例》第三条、第三十六条；《化妆品注册备案管理办法》第二十八条。</w:t>
            </w:r>
          </w:p>
        </w:tc>
      </w:tr>
      <w:tr w14:paraId="2870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761" w:type="dxa"/>
            <w:vAlign w:val="center"/>
          </w:tcPr>
          <w:p w14:paraId="18A6AD89">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质量</w:t>
            </w:r>
          </w:p>
          <w:p w14:paraId="2F4075CE">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rPr>
              <w:t>责任</w:t>
            </w:r>
          </w:p>
        </w:tc>
        <w:tc>
          <w:tcPr>
            <w:tcW w:w="742" w:type="dxa"/>
            <w:vAlign w:val="center"/>
          </w:tcPr>
          <w:p w14:paraId="17A10AB5">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2</w:t>
            </w:r>
          </w:p>
        </w:tc>
        <w:tc>
          <w:tcPr>
            <w:tcW w:w="8525" w:type="dxa"/>
            <w:vAlign w:val="center"/>
          </w:tcPr>
          <w:p w14:paraId="046E4730">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化妆品注册人、备案人</w:t>
            </w:r>
            <w:r>
              <w:rPr>
                <w:rFonts w:hint="eastAsia" w:ascii="方正仿宋_GBK" w:hAnsi="方正仿宋_GBK" w:eastAsia="方正仿宋_GBK" w:cs="方正仿宋_GBK"/>
                <w:bCs/>
                <w:kern w:val="0"/>
                <w:sz w:val="18"/>
                <w:szCs w:val="18"/>
              </w:rPr>
              <w:t>对化妆品的质量安全和功效宣称负责，对其注册或者备案的化妆品从研发、生产、经营全过程质量安全进行管理。</w:t>
            </w:r>
            <w:r>
              <w:rPr>
                <w:rFonts w:hint="eastAsia" w:ascii="方正仿宋_GBK" w:hAnsi="方正仿宋_GBK" w:eastAsia="方正仿宋_GBK" w:cs="方正仿宋_GBK"/>
                <w:bCs/>
                <w:kern w:val="0"/>
                <w:sz w:val="18"/>
                <w:szCs w:val="18"/>
                <w:lang w:bidi="ar"/>
              </w:rPr>
              <w:t>应当依照法律、法规、强制性国家标准、技术规范从事生产经营活动，加强管理，诚信自律，保证化妆品质量安全。</w:t>
            </w:r>
            <w:r>
              <w:rPr>
                <w:rFonts w:hint="eastAsia" w:ascii="方正仿宋_GBK" w:hAnsi="方正仿宋_GBK" w:eastAsia="方正仿宋_GBK" w:cs="方正仿宋_GBK"/>
                <w:sz w:val="18"/>
                <w:szCs w:val="18"/>
              </w:rPr>
              <w:t>应当采取措施避免产品性状、外观形态等与食品、药品等产品相混淆，防止误食、误用。</w:t>
            </w:r>
          </w:p>
        </w:tc>
        <w:tc>
          <w:tcPr>
            <w:tcW w:w="5522" w:type="dxa"/>
            <w:vAlign w:val="center"/>
          </w:tcPr>
          <w:p w14:paraId="248A8A61">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《化妆品监督管理条例》第六条；《化妆品生产经营监督管理办法》</w:t>
            </w:r>
            <w:r>
              <w:rPr>
                <w:rFonts w:hint="eastAsia" w:ascii="方正仿宋_GBK" w:hAnsi="方正仿宋_GBK" w:eastAsia="方正仿宋_GBK" w:cs="方正仿宋_GBK"/>
                <w:sz w:val="18"/>
                <w:szCs w:val="18"/>
              </w:rPr>
              <w:t>第四条、第三十八条；</w:t>
            </w:r>
            <w:r>
              <w:rPr>
                <w:rFonts w:hint="eastAsia" w:ascii="方正仿宋_GBK" w:hAnsi="方正仿宋_GBK" w:eastAsia="方正仿宋_GBK" w:cs="方正仿宋_GBK"/>
                <w:bCs/>
                <w:kern w:val="0"/>
                <w:sz w:val="18"/>
                <w:szCs w:val="18"/>
              </w:rPr>
              <w:t>《企业落实化妆品质量安全主体责任监督管理规定》第三条。</w:t>
            </w:r>
          </w:p>
        </w:tc>
      </w:tr>
      <w:tr w14:paraId="1691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61" w:type="dxa"/>
            <w:vAlign w:val="center"/>
          </w:tcPr>
          <w:p w14:paraId="0F65C0D1">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配合</w:t>
            </w:r>
          </w:p>
          <w:p w14:paraId="3EE5F56D">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rPr>
              <w:t>责任</w:t>
            </w:r>
          </w:p>
        </w:tc>
        <w:tc>
          <w:tcPr>
            <w:tcW w:w="742" w:type="dxa"/>
            <w:vAlign w:val="center"/>
          </w:tcPr>
          <w:p w14:paraId="34595A3F">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3</w:t>
            </w:r>
          </w:p>
        </w:tc>
        <w:tc>
          <w:tcPr>
            <w:tcW w:w="8525" w:type="dxa"/>
            <w:vAlign w:val="center"/>
          </w:tcPr>
          <w:p w14:paraId="43532686">
            <w:pPr>
              <w:pStyle w:val="3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化妆品注册人、备案人对负责药品监督管理的部门的监督检查应当予以配合，不得隐瞒有关情况。</w:t>
            </w:r>
          </w:p>
        </w:tc>
        <w:tc>
          <w:tcPr>
            <w:tcW w:w="5522" w:type="dxa"/>
            <w:vAlign w:val="center"/>
          </w:tcPr>
          <w:p w14:paraId="0D7EC870">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第四十七条。</w:t>
            </w:r>
          </w:p>
        </w:tc>
      </w:tr>
      <w:tr w14:paraId="29D0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jc w:val="center"/>
        </w:trPr>
        <w:tc>
          <w:tcPr>
            <w:tcW w:w="761" w:type="dxa"/>
            <w:vMerge w:val="restart"/>
            <w:vAlign w:val="center"/>
          </w:tcPr>
          <w:p w14:paraId="0A8B7516">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注册</w:t>
            </w:r>
          </w:p>
          <w:p w14:paraId="08D17566">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备案</w:t>
            </w:r>
          </w:p>
          <w:p w14:paraId="784A24C5">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rPr>
              <w:t>管理</w:t>
            </w:r>
          </w:p>
        </w:tc>
        <w:tc>
          <w:tcPr>
            <w:tcW w:w="742" w:type="dxa"/>
            <w:vAlign w:val="center"/>
          </w:tcPr>
          <w:p w14:paraId="74E43FC1">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4</w:t>
            </w:r>
          </w:p>
        </w:tc>
        <w:tc>
          <w:tcPr>
            <w:tcW w:w="8525" w:type="dxa"/>
            <w:vAlign w:val="center"/>
          </w:tcPr>
          <w:p w14:paraId="72C78443">
            <w:pPr>
              <w:pStyle w:val="3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用于染发、烫发、祛斑美白、防晒、防脱发的化妆品以及宣称新功效的化妆品为特殊化妆品。化妆品注册人应当向国务院药品监督管理部门申请特殊化妆品注册，经国务院药品监督管理部门注册后方可生产、进口。</w:t>
            </w:r>
          </w:p>
          <w:p w14:paraId="07C0A8AD">
            <w:pPr>
              <w:pStyle w:val="3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特殊化妆品以外的化妆品为普通化妆品。化妆品备案人应当在国产普通化妆品上市销售前向备案人所在地省、自治区、直辖市人民政府药品监督管理部门备案，在进口普通化妆品进口前向国务院药品监督管理部门备案。</w:t>
            </w:r>
          </w:p>
          <w:p w14:paraId="3182D16E">
            <w:pPr>
              <w:pStyle w:val="3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普通化妆品不得宣称特殊化妆品相关功效。</w:t>
            </w:r>
          </w:p>
        </w:tc>
        <w:tc>
          <w:tcPr>
            <w:tcW w:w="5522" w:type="dxa"/>
            <w:vAlign w:val="center"/>
          </w:tcPr>
          <w:p w14:paraId="3B651770">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第十六条、</w:t>
            </w:r>
            <w:r>
              <w:rPr>
                <w:rFonts w:hint="eastAsia" w:ascii="方正仿宋_GBK" w:hAnsi="方正仿宋_GBK" w:eastAsia="方正仿宋_GBK" w:cs="方正仿宋_GBK"/>
                <w:sz w:val="18"/>
                <w:szCs w:val="18"/>
              </w:rPr>
              <w:t>十七条；</w:t>
            </w: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第三十八条。</w:t>
            </w:r>
          </w:p>
        </w:tc>
      </w:tr>
      <w:tr w14:paraId="69E2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61" w:type="dxa"/>
            <w:vMerge w:val="continue"/>
            <w:vAlign w:val="center"/>
          </w:tcPr>
          <w:p w14:paraId="713E2DB4">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59F075D6">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5</w:t>
            </w:r>
          </w:p>
        </w:tc>
        <w:tc>
          <w:tcPr>
            <w:tcW w:w="8525" w:type="dxa"/>
            <w:vAlign w:val="center"/>
          </w:tcPr>
          <w:p w14:paraId="04E89C87">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化妆品注册人、备案人应当依照法律、行政法规、强制性国家标准、技术规范和注册备案管理等规定，开展化妆品研制、安全评估、注册备案检验等工作，并按照化妆品注册备案资料规范要求提交注册备案资料。</w:t>
            </w:r>
          </w:p>
        </w:tc>
        <w:tc>
          <w:tcPr>
            <w:tcW w:w="5522" w:type="dxa"/>
            <w:vAlign w:val="center"/>
          </w:tcPr>
          <w:p w14:paraId="02A81F42">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《化妆品注册备案管理办法》</w:t>
            </w:r>
            <w:r>
              <w:rPr>
                <w:rFonts w:hint="eastAsia" w:ascii="方正仿宋_GBK" w:hAnsi="方正仿宋_GBK" w:eastAsia="方正仿宋_GBK" w:cs="方正仿宋_GBK"/>
                <w:sz w:val="18"/>
                <w:szCs w:val="18"/>
              </w:rPr>
              <w:t>第二十九条。</w:t>
            </w:r>
          </w:p>
        </w:tc>
      </w:tr>
      <w:tr w14:paraId="216E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61" w:type="dxa"/>
            <w:vMerge w:val="restart"/>
            <w:vAlign w:val="center"/>
          </w:tcPr>
          <w:p w14:paraId="4DB8EB38">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注册</w:t>
            </w:r>
          </w:p>
          <w:p w14:paraId="3077FCE7">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备案</w:t>
            </w:r>
          </w:p>
          <w:p w14:paraId="36D8B24B">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rPr>
              <w:t>管理</w:t>
            </w:r>
          </w:p>
        </w:tc>
        <w:tc>
          <w:tcPr>
            <w:tcW w:w="742" w:type="dxa"/>
            <w:vAlign w:val="center"/>
          </w:tcPr>
          <w:p w14:paraId="1EB5BB54">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6</w:t>
            </w:r>
          </w:p>
        </w:tc>
        <w:tc>
          <w:tcPr>
            <w:tcW w:w="8525" w:type="dxa"/>
            <w:vAlign w:val="center"/>
          </w:tcPr>
          <w:p w14:paraId="026C88F2">
            <w:pPr>
              <w:pStyle w:val="37"/>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化妆品注册人、备案人应当选择符合法律、行政法规、强制性国家标准和技术规范要求的原料用于化妆品生产，对其使用的化妆品原料安全性负责。化妆品注册人、备案人申请注册、进行备案时，应当通过信息服务平台明确原料来源和原料安全相关信息。</w:t>
            </w:r>
          </w:p>
        </w:tc>
        <w:tc>
          <w:tcPr>
            <w:tcW w:w="5522" w:type="dxa"/>
            <w:vAlign w:val="center"/>
          </w:tcPr>
          <w:p w14:paraId="456624C3">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《化妆品注册备案管理办法》</w:t>
            </w:r>
            <w:r>
              <w:rPr>
                <w:rFonts w:hint="eastAsia" w:ascii="方正仿宋_GBK" w:hAnsi="方正仿宋_GBK" w:eastAsia="方正仿宋_GBK" w:cs="方正仿宋_GBK"/>
                <w:sz w:val="18"/>
                <w:szCs w:val="18"/>
              </w:rPr>
              <w:t>第三十条。</w:t>
            </w:r>
          </w:p>
        </w:tc>
      </w:tr>
      <w:tr w14:paraId="4CAF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61" w:type="dxa"/>
            <w:vMerge w:val="continue"/>
            <w:vAlign w:val="center"/>
          </w:tcPr>
          <w:p w14:paraId="46A99ED5">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7FE14E8">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7</w:t>
            </w:r>
          </w:p>
        </w:tc>
        <w:tc>
          <w:tcPr>
            <w:tcW w:w="8525" w:type="dxa"/>
            <w:vAlign w:val="center"/>
          </w:tcPr>
          <w:p w14:paraId="0CADEA01">
            <w:pPr>
              <w:pStyle w:val="37"/>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化妆品注册人、备案人委托生产化妆品的，国产化妆品应当在申请注册或者进行备案时，经化妆品生产企业通过信息服务平台关联确认委托生产关系；进口化妆品由化妆品注册人、备案人提交存在委托关系的相关材料。</w:t>
            </w:r>
          </w:p>
        </w:tc>
        <w:tc>
          <w:tcPr>
            <w:tcW w:w="5522" w:type="dxa"/>
            <w:vAlign w:val="center"/>
          </w:tcPr>
          <w:p w14:paraId="649876A5">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《化妆品注册备案管理办法》</w:t>
            </w:r>
            <w:r>
              <w:rPr>
                <w:rFonts w:hint="eastAsia" w:ascii="方正仿宋_GBK" w:hAnsi="方正仿宋_GBK" w:eastAsia="方正仿宋_GBK" w:cs="方正仿宋_GBK"/>
                <w:sz w:val="18"/>
                <w:szCs w:val="18"/>
              </w:rPr>
              <w:t>第三十一条。</w:t>
            </w:r>
          </w:p>
        </w:tc>
      </w:tr>
      <w:tr w14:paraId="0297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61" w:type="dxa"/>
            <w:vMerge w:val="continue"/>
            <w:vAlign w:val="center"/>
          </w:tcPr>
          <w:p w14:paraId="3AB66786">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5158B7F0">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8</w:t>
            </w:r>
          </w:p>
        </w:tc>
        <w:tc>
          <w:tcPr>
            <w:tcW w:w="8525" w:type="dxa"/>
            <w:vAlign w:val="center"/>
          </w:tcPr>
          <w:p w14:paraId="4D056FC8">
            <w:pPr>
              <w:pStyle w:val="37"/>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化妆品注册人、备案人应当明确产品执行的标准，并在申请注册或者进行备案时提交药品监督管理部门。</w:t>
            </w:r>
          </w:p>
        </w:tc>
        <w:tc>
          <w:tcPr>
            <w:tcW w:w="5522" w:type="dxa"/>
            <w:vAlign w:val="center"/>
          </w:tcPr>
          <w:p w14:paraId="0D7451F1">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《化妆品注册备案管理办法》</w:t>
            </w:r>
            <w:r>
              <w:rPr>
                <w:rFonts w:hint="eastAsia" w:ascii="方正仿宋_GBK" w:hAnsi="方正仿宋_GBK" w:eastAsia="方正仿宋_GBK" w:cs="方正仿宋_GBK"/>
                <w:sz w:val="18"/>
                <w:szCs w:val="18"/>
              </w:rPr>
              <w:t>第三十二条。</w:t>
            </w:r>
          </w:p>
        </w:tc>
      </w:tr>
      <w:tr w14:paraId="54E1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1" w:type="dxa"/>
            <w:vMerge w:val="continue"/>
            <w:vAlign w:val="center"/>
          </w:tcPr>
          <w:p w14:paraId="0CDCF96C">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0E7B3087">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9</w:t>
            </w:r>
          </w:p>
        </w:tc>
        <w:tc>
          <w:tcPr>
            <w:tcW w:w="8525" w:type="dxa"/>
            <w:vAlign w:val="center"/>
          </w:tcPr>
          <w:p w14:paraId="697FE8C9">
            <w:pPr>
              <w:pStyle w:val="37"/>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化妆品注册申请人、备案人应当委托取得资质认定、满足化妆品注册和备案检验工作需要的检验机构，按照强制性国家标准、技术规范和注册备案检验规定的要求进行检验。</w:t>
            </w:r>
          </w:p>
        </w:tc>
        <w:tc>
          <w:tcPr>
            <w:tcW w:w="5522" w:type="dxa"/>
            <w:vAlign w:val="center"/>
          </w:tcPr>
          <w:p w14:paraId="74C905BC">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《化妆品注册备案管理办法》</w:t>
            </w:r>
            <w:r>
              <w:rPr>
                <w:rFonts w:hint="eastAsia" w:ascii="方正仿宋_GBK" w:hAnsi="方正仿宋_GBK" w:eastAsia="方正仿宋_GBK" w:cs="方正仿宋_GBK"/>
                <w:sz w:val="18"/>
                <w:szCs w:val="18"/>
              </w:rPr>
              <w:t>第三十三条。</w:t>
            </w:r>
          </w:p>
        </w:tc>
      </w:tr>
      <w:tr w14:paraId="2A34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61" w:type="dxa"/>
            <w:vMerge w:val="continue"/>
            <w:vAlign w:val="center"/>
          </w:tcPr>
          <w:p w14:paraId="18BEBF35">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5C57FB1A">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10</w:t>
            </w:r>
          </w:p>
        </w:tc>
        <w:tc>
          <w:tcPr>
            <w:tcW w:w="8525" w:type="dxa"/>
            <w:vAlign w:val="center"/>
          </w:tcPr>
          <w:p w14:paraId="52A3FED7">
            <w:pPr>
              <w:pStyle w:val="3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化妆品注册人、备案人应当在国务院药品监督管理部门规定的专门网站公布功效宣称所依据的文献资料、研究数据或者产品功效评价资料的摘要，接受社会监督。</w:t>
            </w:r>
          </w:p>
        </w:tc>
        <w:tc>
          <w:tcPr>
            <w:tcW w:w="5522" w:type="dxa"/>
            <w:vAlign w:val="center"/>
          </w:tcPr>
          <w:p w14:paraId="0A618793">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第二十二条。</w:t>
            </w:r>
          </w:p>
        </w:tc>
      </w:tr>
      <w:tr w14:paraId="1916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761" w:type="dxa"/>
            <w:vMerge w:val="continue"/>
            <w:vAlign w:val="center"/>
          </w:tcPr>
          <w:p w14:paraId="39326CBC">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756C3D2">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11</w:t>
            </w:r>
          </w:p>
        </w:tc>
        <w:tc>
          <w:tcPr>
            <w:tcW w:w="8525" w:type="dxa"/>
            <w:vAlign w:val="center"/>
          </w:tcPr>
          <w:p w14:paraId="043B620E">
            <w:pPr>
              <w:pStyle w:val="37"/>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已经备案的普通化妆品，无正当理由不得随意改变产品名称；没有充分的科学依据，不得随意改变功效宣称。</w:t>
            </w:r>
          </w:p>
          <w:p w14:paraId="7D71A1A3">
            <w:pPr>
              <w:pStyle w:val="37"/>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已经备案的普通化妆品不得随意改变产品配方，但因原料来源改变等原因导致产品配方发生微小变化的情况除外。</w:t>
            </w:r>
          </w:p>
          <w:p w14:paraId="20F9FB33">
            <w:pPr>
              <w:pStyle w:val="37"/>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备案人、境内责任人地址变化导致备案管理部门改变的，备案人应当重新进行备案。</w:t>
            </w:r>
          </w:p>
        </w:tc>
        <w:tc>
          <w:tcPr>
            <w:tcW w:w="5522" w:type="dxa"/>
            <w:vAlign w:val="center"/>
          </w:tcPr>
          <w:p w14:paraId="5D992F18">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《化妆品注册备案管理办法》</w:t>
            </w:r>
            <w:r>
              <w:rPr>
                <w:rFonts w:hint="eastAsia" w:ascii="方正仿宋_GBK" w:hAnsi="方正仿宋_GBK" w:eastAsia="方正仿宋_GBK" w:cs="方正仿宋_GBK"/>
                <w:sz w:val="18"/>
                <w:szCs w:val="18"/>
              </w:rPr>
              <w:t>第三十六条。</w:t>
            </w:r>
          </w:p>
        </w:tc>
      </w:tr>
      <w:tr w14:paraId="6792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761" w:type="dxa"/>
            <w:vMerge w:val="restart"/>
            <w:vAlign w:val="center"/>
          </w:tcPr>
          <w:p w14:paraId="694A944F">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注册</w:t>
            </w:r>
          </w:p>
          <w:p w14:paraId="72E9306F">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备案</w:t>
            </w:r>
          </w:p>
          <w:p w14:paraId="44AA1E60">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rPr>
              <w:t>管理</w:t>
            </w:r>
          </w:p>
        </w:tc>
        <w:tc>
          <w:tcPr>
            <w:tcW w:w="742" w:type="dxa"/>
            <w:vAlign w:val="center"/>
          </w:tcPr>
          <w:p w14:paraId="3A0C4D96">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12</w:t>
            </w:r>
          </w:p>
        </w:tc>
        <w:tc>
          <w:tcPr>
            <w:tcW w:w="8525" w:type="dxa"/>
            <w:vAlign w:val="center"/>
          </w:tcPr>
          <w:p w14:paraId="74B823B8">
            <w:pPr>
              <w:pStyle w:val="37"/>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使用化妆品新原料生产化妆品的化妆品注册人、备案人，应当及时向化妆品新原料注册人、备案人反馈化妆品新原料的使用和安全情况。</w:t>
            </w:r>
          </w:p>
          <w:p w14:paraId="21DAED67">
            <w:pPr>
              <w:pStyle w:val="37"/>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出现可能与化妆品新原料相关的化妆品不良反应或者安全问题时，化妆品注册人、备案人应当立即采取措施控制风险，通知化妆品新原料注册人、备案人，并按照规定向所在地省、自治区、直辖市药品监督管理部门报告。</w:t>
            </w:r>
          </w:p>
        </w:tc>
        <w:tc>
          <w:tcPr>
            <w:tcW w:w="5522" w:type="dxa"/>
            <w:vAlign w:val="center"/>
          </w:tcPr>
          <w:p w14:paraId="64616403">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《化妆品注册备案管理办法》</w:t>
            </w:r>
            <w:r>
              <w:rPr>
                <w:rFonts w:hint="eastAsia" w:ascii="方正仿宋_GBK" w:hAnsi="方正仿宋_GBK" w:eastAsia="方正仿宋_GBK" w:cs="方正仿宋_GBK"/>
                <w:sz w:val="18"/>
                <w:szCs w:val="18"/>
              </w:rPr>
              <w:t>第二十三条。</w:t>
            </w:r>
          </w:p>
        </w:tc>
      </w:tr>
      <w:tr w14:paraId="4EC7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761" w:type="dxa"/>
            <w:vMerge w:val="continue"/>
            <w:vAlign w:val="center"/>
          </w:tcPr>
          <w:p w14:paraId="414955AF">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40EF00D8">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13</w:t>
            </w:r>
          </w:p>
        </w:tc>
        <w:tc>
          <w:tcPr>
            <w:tcW w:w="8525" w:type="dxa"/>
            <w:vAlign w:val="center"/>
          </w:tcPr>
          <w:p w14:paraId="6CA6FAD4">
            <w:pPr>
              <w:pStyle w:val="37"/>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普通化妆品的备案人应当每年向承担备案管理工作的药品监督管理部门报告生产、进口情况，以及符合法律法规、强制性国家标准、技术规范的情况。</w:t>
            </w:r>
          </w:p>
          <w:p w14:paraId="3726373F">
            <w:pPr>
              <w:pStyle w:val="37"/>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已经备案的产品不再生产或者进口的，备案人应当及时报告承担备案管理工作的药品监督管理部门取消备案。</w:t>
            </w:r>
          </w:p>
        </w:tc>
        <w:tc>
          <w:tcPr>
            <w:tcW w:w="5522" w:type="dxa"/>
            <w:vAlign w:val="center"/>
          </w:tcPr>
          <w:p w14:paraId="33647FA5">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《化妆品注册备案管理办法》</w:t>
            </w:r>
            <w:r>
              <w:rPr>
                <w:rFonts w:hint="eastAsia" w:ascii="方正仿宋_GBK" w:hAnsi="方正仿宋_GBK" w:eastAsia="方正仿宋_GBK" w:cs="方正仿宋_GBK"/>
                <w:sz w:val="18"/>
                <w:szCs w:val="18"/>
              </w:rPr>
              <w:t>第三十七条。</w:t>
            </w:r>
          </w:p>
        </w:tc>
      </w:tr>
      <w:tr w14:paraId="04C7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761" w:type="dxa"/>
            <w:vMerge w:val="continue"/>
            <w:vAlign w:val="center"/>
          </w:tcPr>
          <w:p w14:paraId="4E773F9D">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48548F68">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14</w:t>
            </w:r>
          </w:p>
        </w:tc>
        <w:tc>
          <w:tcPr>
            <w:tcW w:w="8525" w:type="dxa"/>
            <w:vAlign w:val="center"/>
          </w:tcPr>
          <w:p w14:paraId="00102207">
            <w:pPr>
              <w:pStyle w:val="37"/>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特殊化妆品注册证有效期届满需要延续的，注册人应当在产品注册证有效期届满前90个工作日至30个工作日期间提出延续注册申请，并承诺符合强制性国家标准、技术规范的要求。注册人应当对提交资料和作出承诺的真实性、合法性负责。逾期未提出延续注册申请的，不再受理其延续注册申请。</w:t>
            </w:r>
          </w:p>
        </w:tc>
        <w:tc>
          <w:tcPr>
            <w:tcW w:w="5522" w:type="dxa"/>
            <w:vAlign w:val="center"/>
          </w:tcPr>
          <w:p w14:paraId="4C1FD039">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《化妆品注册备案管理办法》</w:t>
            </w:r>
            <w:r>
              <w:rPr>
                <w:rFonts w:hint="eastAsia" w:ascii="方正仿宋_GBK" w:hAnsi="方正仿宋_GBK" w:eastAsia="方正仿宋_GBK" w:cs="方正仿宋_GBK"/>
                <w:sz w:val="18"/>
                <w:szCs w:val="18"/>
              </w:rPr>
              <w:t>第四十三条。</w:t>
            </w:r>
          </w:p>
        </w:tc>
      </w:tr>
      <w:tr w14:paraId="7C3B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761" w:type="dxa"/>
            <w:vMerge w:val="continue"/>
            <w:vAlign w:val="center"/>
          </w:tcPr>
          <w:p w14:paraId="402B9741">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A6B4975">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15</w:t>
            </w:r>
          </w:p>
        </w:tc>
        <w:tc>
          <w:tcPr>
            <w:tcW w:w="8525" w:type="dxa"/>
            <w:vAlign w:val="center"/>
          </w:tcPr>
          <w:p w14:paraId="656E222C">
            <w:pPr>
              <w:pStyle w:val="37"/>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特殊化妆品取得注册证后，注册人应当在产品投放市场前，将上市销售的产品标签图片上传至信息服务平台，供社会公众查询。</w:t>
            </w:r>
          </w:p>
        </w:tc>
        <w:tc>
          <w:tcPr>
            <w:tcW w:w="5522" w:type="dxa"/>
            <w:vAlign w:val="center"/>
          </w:tcPr>
          <w:p w14:paraId="4EEE303E">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《化妆品注册备案管理办法》</w:t>
            </w:r>
            <w:r>
              <w:rPr>
                <w:rFonts w:hint="eastAsia" w:ascii="方正仿宋_GBK" w:hAnsi="方正仿宋_GBK" w:eastAsia="方正仿宋_GBK" w:cs="方正仿宋_GBK"/>
                <w:sz w:val="18"/>
                <w:szCs w:val="18"/>
              </w:rPr>
              <w:t>第四十八条。</w:t>
            </w:r>
          </w:p>
        </w:tc>
      </w:tr>
      <w:tr w14:paraId="464F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761" w:type="dxa"/>
            <w:vMerge w:val="restart"/>
            <w:vAlign w:val="center"/>
          </w:tcPr>
          <w:p w14:paraId="6D204BCF">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rPr>
              <w:t>注册备案管理</w:t>
            </w:r>
          </w:p>
        </w:tc>
        <w:tc>
          <w:tcPr>
            <w:tcW w:w="742" w:type="dxa"/>
            <w:vAlign w:val="center"/>
          </w:tcPr>
          <w:p w14:paraId="222F63C5">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16</w:t>
            </w:r>
          </w:p>
        </w:tc>
        <w:tc>
          <w:tcPr>
            <w:tcW w:w="8525" w:type="dxa"/>
            <w:vAlign w:val="center"/>
          </w:tcPr>
          <w:p w14:paraId="1E93B999">
            <w:pPr>
              <w:pStyle w:val="3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境外化妆品注册人、备案人应当指定我国境内的企业法人办理化妆品注册、备案，协助开展化妆品不良反应监测、实施产品召回。</w:t>
            </w:r>
          </w:p>
        </w:tc>
        <w:tc>
          <w:tcPr>
            <w:tcW w:w="5522" w:type="dxa"/>
            <w:vAlign w:val="center"/>
          </w:tcPr>
          <w:p w14:paraId="0B53D525">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第二十三条。</w:t>
            </w:r>
          </w:p>
        </w:tc>
      </w:tr>
      <w:tr w14:paraId="10B8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jc w:val="center"/>
        </w:trPr>
        <w:tc>
          <w:tcPr>
            <w:tcW w:w="761" w:type="dxa"/>
            <w:vMerge w:val="continue"/>
            <w:vAlign w:val="center"/>
          </w:tcPr>
          <w:p w14:paraId="1AED6818">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56B2DFB">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17</w:t>
            </w:r>
          </w:p>
        </w:tc>
        <w:tc>
          <w:tcPr>
            <w:tcW w:w="8525" w:type="dxa"/>
            <w:vAlign w:val="center"/>
          </w:tcPr>
          <w:p w14:paraId="3EFA31FA">
            <w:pPr>
              <w:pStyle w:val="8"/>
              <w:keepNext w:val="0"/>
              <w:keepLines w:val="0"/>
              <w:pageBreakBefore w:val="0"/>
              <w:widowControl/>
              <w:kinsoku/>
              <w:wordWrap/>
              <w:overflowPunct/>
              <w:topLinePunct w:val="0"/>
              <w:autoSpaceDE/>
              <w:autoSpaceDN/>
              <w:bidi w:val="0"/>
              <w:adjustRightInd w:val="0"/>
              <w:snapToGrid w:val="0"/>
              <w:spacing w:beforeAutospacing="0" w:afterAutospacing="0"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化妆品注册人、备案人应当建立化妆品注册备案资料审核制度。在产品注册或者备案（含首次申请注册或者提交备案、注册备案变更、注册延续）前，质量安全负责人应当对产品名称、产品配方、产品执行的标准、产品标签、产品检验报告、产品安全评估等注册或者备案资料以及功效宣称评价资料的合法性、真实性、科学性、完整性等进行审核；发现问题的，应当立即组织整改，在整改完成前不得提交产品注册申请或者进行备案。</w:t>
            </w:r>
          </w:p>
          <w:p w14:paraId="142A865B">
            <w:pPr>
              <w:pStyle w:val="8"/>
              <w:keepNext w:val="0"/>
              <w:keepLines w:val="0"/>
              <w:pageBreakBefore w:val="0"/>
              <w:widowControl/>
              <w:kinsoku/>
              <w:wordWrap/>
              <w:overflowPunct/>
              <w:topLinePunct w:val="0"/>
              <w:autoSpaceDE/>
              <w:autoSpaceDN/>
              <w:bidi w:val="0"/>
              <w:adjustRightInd w:val="0"/>
              <w:snapToGrid w:val="0"/>
              <w:spacing w:beforeAutospacing="0" w:afterAutospacing="0"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普通化妆品在提交化妆品年度报告前，质量安全负责人应当组织对年度报告内容的真实性、准确性等进行审核；发现问题的，应当立即组织整改。</w:t>
            </w:r>
          </w:p>
        </w:tc>
        <w:tc>
          <w:tcPr>
            <w:tcW w:w="5522" w:type="dxa"/>
            <w:vAlign w:val="center"/>
          </w:tcPr>
          <w:p w14:paraId="7BA3341D">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rPr>
              <w:t>《企业落实化妆品质量安全主体责任监督管理规定》</w:t>
            </w:r>
            <w:r>
              <w:rPr>
                <w:rFonts w:hint="eastAsia" w:ascii="方正仿宋_GBK" w:hAnsi="方正仿宋_GBK" w:eastAsia="方正仿宋_GBK" w:cs="方正仿宋_GBK"/>
                <w:sz w:val="18"/>
                <w:szCs w:val="18"/>
              </w:rPr>
              <w:t>第十六条</w:t>
            </w:r>
            <w:r>
              <w:rPr>
                <w:rFonts w:hint="eastAsia" w:ascii="方正仿宋_GBK" w:hAnsi="方正仿宋_GBK" w:eastAsia="方正仿宋_GBK" w:cs="方正仿宋_GBK"/>
                <w:sz w:val="18"/>
                <w:szCs w:val="18"/>
                <w:lang w:val="en"/>
              </w:rPr>
              <w:t>。</w:t>
            </w:r>
          </w:p>
        </w:tc>
      </w:tr>
      <w:tr w14:paraId="5DDD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761" w:type="dxa"/>
            <w:vAlign w:val="center"/>
          </w:tcPr>
          <w:p w14:paraId="7BF9544E">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标签管理</w:t>
            </w:r>
          </w:p>
        </w:tc>
        <w:tc>
          <w:tcPr>
            <w:tcW w:w="742" w:type="dxa"/>
            <w:vAlign w:val="center"/>
          </w:tcPr>
          <w:p w14:paraId="3583BA31">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18</w:t>
            </w:r>
          </w:p>
        </w:tc>
        <w:tc>
          <w:tcPr>
            <w:tcW w:w="8525" w:type="dxa"/>
            <w:vAlign w:val="center"/>
          </w:tcPr>
          <w:p w14:paraId="3EEAF979">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产品应当符合相关法律法规、强制性国家标准、技术规范和化妆品注册、备案资料载明的技术要求。企业应当建立并执行标签管理制度，对产品标签进行审核确认，确保产品的标签符合相关法律法规、强制性国家标准、技术规范的要求。内包材上标注标签的生产工序应当在完成最后一道接触化妆品内容物生产工序的生产企业内完成。产品销售包装上标注的使用期限不得擅自更改。</w:t>
            </w:r>
          </w:p>
        </w:tc>
        <w:tc>
          <w:tcPr>
            <w:tcW w:w="5522" w:type="dxa"/>
            <w:vAlign w:val="center"/>
          </w:tcPr>
          <w:p w14:paraId="7F78DE27">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《化妆品监督管理条例》第二十五条；</w:t>
            </w:r>
            <w:r>
              <w:rPr>
                <w:rFonts w:hint="eastAsia" w:ascii="方正仿宋_GBK" w:hAnsi="方正仿宋_GBK" w:eastAsia="方正仿宋_GBK" w:cs="方正仿宋_GBK"/>
                <w:bCs/>
                <w:sz w:val="18"/>
                <w:szCs w:val="18"/>
              </w:rPr>
              <w:t>《化妆品生产质量管理规范》第三十四条。</w:t>
            </w:r>
          </w:p>
        </w:tc>
      </w:tr>
      <w:tr w14:paraId="1FFB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0" w:hRule="atLeast"/>
          <w:jc w:val="center"/>
        </w:trPr>
        <w:tc>
          <w:tcPr>
            <w:tcW w:w="761" w:type="dxa"/>
            <w:vAlign w:val="center"/>
          </w:tcPr>
          <w:p w14:paraId="6101271A">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标签管理</w:t>
            </w:r>
          </w:p>
        </w:tc>
        <w:tc>
          <w:tcPr>
            <w:tcW w:w="742" w:type="dxa"/>
            <w:vAlign w:val="center"/>
          </w:tcPr>
          <w:p w14:paraId="57D3E931">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19</w:t>
            </w:r>
          </w:p>
        </w:tc>
        <w:tc>
          <w:tcPr>
            <w:tcW w:w="8525" w:type="dxa"/>
            <w:vAlign w:val="center"/>
          </w:tcPr>
          <w:p w14:paraId="0D5E8D51">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化妆品的最小销售单元应当有</w:t>
            </w:r>
            <w:r>
              <w:rPr>
                <w:rFonts w:hint="eastAsia" w:ascii="方正仿宋_GBK" w:hAnsi="方正仿宋_GBK" w:eastAsia="方正仿宋_GBK" w:cs="方正仿宋_GBK"/>
                <w:sz w:val="18"/>
                <w:szCs w:val="18"/>
              </w:rPr>
              <w:t>中文</w:t>
            </w:r>
            <w:r>
              <w:rPr>
                <w:rFonts w:hint="eastAsia" w:ascii="方正仿宋_GBK" w:hAnsi="方正仿宋_GBK" w:eastAsia="方正仿宋_GBK" w:cs="方正仿宋_GBK"/>
                <w:kern w:val="0"/>
                <w:sz w:val="18"/>
                <w:szCs w:val="18"/>
              </w:rPr>
              <w:t>标签。</w:t>
            </w:r>
            <w:r>
              <w:rPr>
                <w:rFonts w:hint="eastAsia" w:ascii="方正仿宋_GBK" w:hAnsi="方正仿宋_GBK" w:eastAsia="方正仿宋_GBK" w:cs="方正仿宋_GBK"/>
                <w:sz w:val="18"/>
                <w:szCs w:val="18"/>
              </w:rPr>
              <w:t>应当与化妆品注册或者备案资料中产品标签样稿一致，</w:t>
            </w:r>
            <w:r>
              <w:rPr>
                <w:rFonts w:hint="eastAsia" w:ascii="方正仿宋_GBK" w:hAnsi="方正仿宋_GBK" w:eastAsia="方正仿宋_GBK" w:cs="方正仿宋_GBK"/>
                <w:kern w:val="0"/>
                <w:sz w:val="18"/>
                <w:szCs w:val="18"/>
              </w:rPr>
              <w:t>应当符合相关法律、行政法规、强制性国家标准，内容真实、完整、准确。</w:t>
            </w:r>
          </w:p>
          <w:p w14:paraId="718418B4">
            <w:pPr>
              <w:pStyle w:val="35"/>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化妆品标签应当标注下列内容：</w:t>
            </w:r>
          </w:p>
          <w:p w14:paraId="46C67B10">
            <w:pPr>
              <w:pStyle w:val="35"/>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（一）产品名称、特殊化妆品注册证编号；</w:t>
            </w:r>
          </w:p>
          <w:p w14:paraId="32A2E694">
            <w:pPr>
              <w:pStyle w:val="35"/>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（二）注册人、备案人、受托生产企业的名称、地址；</w:t>
            </w:r>
          </w:p>
          <w:p w14:paraId="1460D6BE">
            <w:pPr>
              <w:pStyle w:val="35"/>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（三）化妆品生产许可证编号；</w:t>
            </w:r>
          </w:p>
          <w:p w14:paraId="05C55CDA">
            <w:pPr>
              <w:pStyle w:val="35"/>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（四）产品执行的标准编号；</w:t>
            </w:r>
          </w:p>
          <w:p w14:paraId="46043AAA">
            <w:pPr>
              <w:pStyle w:val="35"/>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（五）全成分；</w:t>
            </w:r>
          </w:p>
          <w:p w14:paraId="716AAC4D">
            <w:pPr>
              <w:pStyle w:val="35"/>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（六）净含量；</w:t>
            </w:r>
          </w:p>
          <w:p w14:paraId="01C629B6">
            <w:pPr>
              <w:pStyle w:val="35"/>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（七）使用期限、使用方法以及必要的安全警示；</w:t>
            </w:r>
          </w:p>
          <w:p w14:paraId="53D54A0D">
            <w:pPr>
              <w:pStyle w:val="35"/>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（八）法律、行政法规和强制性国家标准规定应当标注的其他内容。</w:t>
            </w:r>
          </w:p>
          <w:p w14:paraId="5A3BBB11">
            <w:pPr>
              <w:pStyle w:val="35"/>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化妆品的名称、成分、功效等标签标注的事项应当真实、合法，化妆品名称使用商标的，还应当符合国家有关商标管理的法律法规规定。</w:t>
            </w:r>
          </w:p>
          <w:p w14:paraId="6E2721B4">
            <w:pPr>
              <w:pStyle w:val="35"/>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化妆品标签禁止标注下列内容：</w:t>
            </w:r>
          </w:p>
          <w:p w14:paraId="578D28B6">
            <w:pPr>
              <w:pStyle w:val="35"/>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（一）明示或者暗示具有医疗作用的内容；</w:t>
            </w:r>
          </w:p>
          <w:p w14:paraId="13F74F85">
            <w:pPr>
              <w:pStyle w:val="35"/>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（二）虚假或者引人误解的内容；</w:t>
            </w:r>
          </w:p>
          <w:p w14:paraId="69AEAD6E">
            <w:pPr>
              <w:pStyle w:val="35"/>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（三）违反社会公序良俗的内容；</w:t>
            </w:r>
          </w:p>
          <w:p w14:paraId="2449EFE1">
            <w:pPr>
              <w:pStyle w:val="35"/>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（四）法律、行政法规禁止标注的其他内容。</w:t>
            </w:r>
          </w:p>
          <w:p w14:paraId="5C620A2E">
            <w:pPr>
              <w:pStyle w:val="35"/>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供儿童使用的化妆品应当按照国家药品监督管理局的规定在产品标签上进行标注。</w:t>
            </w:r>
          </w:p>
        </w:tc>
        <w:tc>
          <w:tcPr>
            <w:tcW w:w="5522" w:type="dxa"/>
            <w:vAlign w:val="center"/>
          </w:tcPr>
          <w:p w14:paraId="4731BA6D">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第三十五条</w:t>
            </w:r>
            <w:r>
              <w:rPr>
                <w:rFonts w:hint="eastAsia" w:ascii="方正仿宋_GBK" w:hAnsi="方正仿宋_GBK" w:eastAsia="方正仿宋_GBK" w:cs="方正仿宋_GBK"/>
                <w:kern w:val="0"/>
                <w:sz w:val="18"/>
                <w:szCs w:val="18"/>
                <w:lang w:eastAsia="zh-CN"/>
              </w:rPr>
              <w:t>、</w:t>
            </w:r>
            <w:r>
              <w:rPr>
                <w:rFonts w:hint="eastAsia" w:ascii="方正仿宋_GBK" w:hAnsi="方正仿宋_GBK" w:eastAsia="方正仿宋_GBK" w:cs="方正仿宋_GBK"/>
                <w:kern w:val="0"/>
                <w:sz w:val="18"/>
                <w:szCs w:val="18"/>
              </w:rPr>
              <w:t>第三十六条</w:t>
            </w:r>
            <w:r>
              <w:rPr>
                <w:rFonts w:hint="eastAsia" w:ascii="方正仿宋_GBK" w:hAnsi="方正仿宋_GBK" w:eastAsia="方正仿宋_GBK" w:cs="方正仿宋_GBK"/>
                <w:kern w:val="0"/>
                <w:sz w:val="18"/>
                <w:szCs w:val="18"/>
                <w:lang w:eastAsia="zh-CN"/>
              </w:rPr>
              <w:t>、</w:t>
            </w:r>
            <w:r>
              <w:rPr>
                <w:rFonts w:hint="eastAsia" w:ascii="方正仿宋_GBK" w:hAnsi="方正仿宋_GBK" w:eastAsia="方正仿宋_GBK" w:cs="方正仿宋_GBK"/>
                <w:kern w:val="0"/>
                <w:sz w:val="18"/>
                <w:szCs w:val="18"/>
              </w:rPr>
              <w:t>第三十七条；</w:t>
            </w: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第三十五条</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第三十六条</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第三十八条。</w:t>
            </w:r>
          </w:p>
        </w:tc>
      </w:tr>
      <w:tr w14:paraId="0494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761" w:type="dxa"/>
            <w:vMerge w:val="restart"/>
            <w:vAlign w:val="center"/>
          </w:tcPr>
          <w:p w14:paraId="034BE4F7">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委托生产管理</w:t>
            </w:r>
          </w:p>
        </w:tc>
        <w:tc>
          <w:tcPr>
            <w:tcW w:w="742" w:type="dxa"/>
            <w:vAlign w:val="center"/>
          </w:tcPr>
          <w:p w14:paraId="2165AEBD">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20</w:t>
            </w:r>
          </w:p>
        </w:tc>
        <w:tc>
          <w:tcPr>
            <w:tcW w:w="8525" w:type="dxa"/>
            <w:vAlign w:val="center"/>
          </w:tcPr>
          <w:p w14:paraId="70654EB6">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委托生产的化妆品注册人、备案人（以下简称“委托方”）应当按照《化妆品生产质量管理规范》的规定建立相应的质量管理体系，并对受托生产企业的生产活动</w:t>
            </w:r>
            <w:r>
              <w:rPr>
                <w:rFonts w:hint="eastAsia" w:ascii="方正仿宋_GBK" w:hAnsi="方正仿宋_GBK" w:eastAsia="方正仿宋_GBK" w:cs="方正仿宋_GBK"/>
                <w:sz w:val="18"/>
                <w:szCs w:val="18"/>
              </w:rPr>
              <w:t>全过程</w:t>
            </w:r>
            <w:r>
              <w:rPr>
                <w:rFonts w:hint="eastAsia" w:ascii="方正仿宋_GBK" w:hAnsi="方正仿宋_GBK" w:eastAsia="方正仿宋_GBK" w:cs="方正仿宋_GBK"/>
                <w:bCs/>
                <w:sz w:val="18"/>
                <w:szCs w:val="18"/>
              </w:rPr>
              <w:t>进行监督</w:t>
            </w:r>
            <w:r>
              <w:rPr>
                <w:rFonts w:hint="eastAsia" w:ascii="方正仿宋_GBK" w:hAnsi="方正仿宋_GBK" w:eastAsia="方正仿宋_GBK" w:cs="方正仿宋_GBK"/>
                <w:sz w:val="18"/>
                <w:szCs w:val="18"/>
              </w:rPr>
              <w:t>，对委托生产的化妆品的质量安全负责。</w:t>
            </w:r>
          </w:p>
        </w:tc>
        <w:tc>
          <w:tcPr>
            <w:tcW w:w="5522" w:type="dxa"/>
            <w:vAlign w:val="center"/>
          </w:tcPr>
          <w:p w14:paraId="23E2CF51">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第二十八条；</w:t>
            </w: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第二十六条；</w:t>
            </w:r>
            <w:r>
              <w:rPr>
                <w:rFonts w:hint="eastAsia" w:ascii="方正仿宋_GBK" w:hAnsi="方正仿宋_GBK" w:eastAsia="方正仿宋_GBK" w:cs="方正仿宋_GBK"/>
                <w:bCs/>
                <w:kern w:val="0"/>
                <w:sz w:val="18"/>
                <w:szCs w:val="18"/>
              </w:rPr>
              <w:t>《企业落实化妆品质量安全主体责任监督管理规定》第三条</w:t>
            </w:r>
            <w:r>
              <w:rPr>
                <w:rFonts w:hint="eastAsia" w:ascii="方正仿宋_GBK" w:hAnsi="方正仿宋_GBK" w:eastAsia="方正仿宋_GBK" w:cs="方正仿宋_GBK"/>
                <w:kern w:val="0"/>
                <w:sz w:val="18"/>
                <w:szCs w:val="18"/>
              </w:rPr>
              <w:t>；</w:t>
            </w:r>
            <w:r>
              <w:rPr>
                <w:rFonts w:hint="eastAsia" w:ascii="方正仿宋_GBK" w:hAnsi="方正仿宋_GBK" w:eastAsia="方正仿宋_GBK" w:cs="方正仿宋_GBK"/>
                <w:bCs/>
                <w:sz w:val="18"/>
                <w:szCs w:val="18"/>
              </w:rPr>
              <w:t>《化妆品生产质量管理规范》第四十六条。</w:t>
            </w:r>
          </w:p>
        </w:tc>
      </w:tr>
      <w:tr w14:paraId="2FC8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61" w:type="dxa"/>
            <w:vMerge w:val="continue"/>
            <w:vAlign w:val="center"/>
          </w:tcPr>
          <w:p w14:paraId="1ACAE219">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233224E">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21</w:t>
            </w:r>
          </w:p>
        </w:tc>
        <w:tc>
          <w:tcPr>
            <w:tcW w:w="8525" w:type="dxa"/>
            <w:vAlign w:val="center"/>
          </w:tcPr>
          <w:p w14:paraId="6EBA7812">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委托方应当建立与所注册或者备案的化妆品和委托生产需要相适应的组织机构，明确注册备案管理、生产质量管理、产品销售管理等关键环节的负责部门和职责，配备相应的管理人员。</w:t>
            </w:r>
          </w:p>
        </w:tc>
        <w:tc>
          <w:tcPr>
            <w:tcW w:w="5522" w:type="dxa"/>
            <w:vAlign w:val="center"/>
          </w:tcPr>
          <w:p w14:paraId="40D1D912">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《化妆品生产质量管理规范》第四十七条。</w:t>
            </w:r>
          </w:p>
        </w:tc>
      </w:tr>
      <w:tr w14:paraId="433A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61" w:type="dxa"/>
            <w:vMerge w:val="continue"/>
            <w:vAlign w:val="center"/>
          </w:tcPr>
          <w:p w14:paraId="0214AC5B">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466365D">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22</w:t>
            </w:r>
          </w:p>
        </w:tc>
        <w:tc>
          <w:tcPr>
            <w:tcW w:w="8525" w:type="dxa"/>
            <w:vAlign w:val="center"/>
          </w:tcPr>
          <w:p w14:paraId="10C251D7">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化妆品委托生产的，委托方应当是所生产化妆品的注册人或者备案人。受托生产企业应当是持有有效化妆品生产许可证的企业，并在其生产许可范围内接受委托。</w:t>
            </w:r>
          </w:p>
        </w:tc>
        <w:tc>
          <w:tcPr>
            <w:tcW w:w="5522" w:type="dxa"/>
            <w:vAlign w:val="center"/>
          </w:tcPr>
          <w:p w14:paraId="292EC9E7">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第二十八条；</w:t>
            </w: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第二十六条；</w:t>
            </w:r>
            <w:r>
              <w:rPr>
                <w:rFonts w:hint="eastAsia" w:ascii="方正仿宋_GBK" w:hAnsi="方正仿宋_GBK" w:eastAsia="方正仿宋_GBK" w:cs="方正仿宋_GBK"/>
                <w:bCs/>
                <w:sz w:val="18"/>
                <w:szCs w:val="18"/>
              </w:rPr>
              <w:t>《化妆品生产质量管理规范》第四十八条。</w:t>
            </w:r>
          </w:p>
        </w:tc>
      </w:tr>
      <w:tr w14:paraId="57C8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761" w:type="dxa"/>
            <w:vMerge w:val="continue"/>
            <w:vAlign w:val="center"/>
          </w:tcPr>
          <w:p w14:paraId="6C8BF503">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41E8DCE9">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23</w:t>
            </w:r>
          </w:p>
        </w:tc>
        <w:tc>
          <w:tcPr>
            <w:tcW w:w="8525" w:type="dxa"/>
            <w:vAlign w:val="center"/>
          </w:tcPr>
          <w:p w14:paraId="3212B10D">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法定代表人、主要负责人对化妆品质量安全工作全面负责。委托方应当建立化妆品质量安全责任制，明确委托方法定代表人、质量安全负责人以及其他化妆品质量安全相关岗位的职责，各岗位人员应当按照岗位职责要求，逐级履行相应的化妆品质量安全义务，落实化妆品质量安全主体责任。</w:t>
            </w:r>
          </w:p>
        </w:tc>
        <w:tc>
          <w:tcPr>
            <w:tcW w:w="5522" w:type="dxa"/>
            <w:vAlign w:val="center"/>
          </w:tcPr>
          <w:p w14:paraId="33DBD3C2">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第二十七条；</w:t>
            </w:r>
            <w:r>
              <w:rPr>
                <w:rFonts w:hint="eastAsia" w:ascii="方正仿宋_GBK" w:hAnsi="方正仿宋_GBK" w:eastAsia="方正仿宋_GBK" w:cs="方正仿宋_GBK"/>
                <w:bCs/>
                <w:sz w:val="18"/>
                <w:szCs w:val="18"/>
              </w:rPr>
              <w:t>《化妆品生产质量管理规范》第四十九条；</w:t>
            </w:r>
            <w:r>
              <w:rPr>
                <w:rFonts w:hint="eastAsia" w:ascii="方正仿宋_GBK" w:hAnsi="方正仿宋_GBK" w:eastAsia="方正仿宋_GBK" w:cs="方正仿宋_GBK"/>
                <w:bCs/>
                <w:kern w:val="0"/>
                <w:sz w:val="18"/>
                <w:szCs w:val="18"/>
              </w:rPr>
              <w:t>《企业落实化妆品质量安全主体责任监督管理规定》第四条。</w:t>
            </w:r>
          </w:p>
        </w:tc>
      </w:tr>
      <w:tr w14:paraId="29E8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1" w:type="dxa"/>
            <w:vMerge w:val="continue"/>
            <w:vAlign w:val="center"/>
          </w:tcPr>
          <w:p w14:paraId="19B17D37">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2975E09D">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24</w:t>
            </w:r>
          </w:p>
        </w:tc>
        <w:tc>
          <w:tcPr>
            <w:tcW w:w="8525" w:type="dxa"/>
            <w:vAlign w:val="center"/>
          </w:tcPr>
          <w:p w14:paraId="7465EB01">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委托方应当设质量安全负责人，质量安全负责人应当具备化妆品、化学、化工、生物、医学、药学、食品、公共卫生或者法学等化妆品质量安全相关专业知识，熟悉相关法律法规、强制性国家标准、技术规范，并具有5年以上化妆品生产或者质量管理经验。</w:t>
            </w:r>
          </w:p>
          <w:p w14:paraId="13998D14">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pacing w:val="-6"/>
                <w:sz w:val="18"/>
                <w:szCs w:val="18"/>
              </w:rPr>
              <w:t>质量安全负责人应当协助委托方法定代表人承担下列相应的产品质量安全管理和产品放行职责：</w:t>
            </w:r>
            <w:r>
              <w:rPr>
                <w:rFonts w:hint="eastAsia" w:ascii="方正仿宋_GBK" w:hAnsi="方正仿宋_GBK" w:eastAsia="方正仿宋_GBK" w:cs="方正仿宋_GBK"/>
                <w:bCs/>
                <w:sz w:val="18"/>
                <w:szCs w:val="18"/>
              </w:rPr>
              <w:t>（一）建立并组织实施本企业质量管理体系，落实质量安全管理责任，定期向法定代表人报告质量管理体系运行情况；（二）产品质量安全问题的决策及有关文件的签发；（三）审核化妆品注册、备案资料；（四）委托方采购、提供物料的，物料供应商、物料放行的审核管理；（五）产品的上市放行；（六）</w:t>
            </w:r>
            <w:r>
              <w:rPr>
                <w:rFonts w:hint="eastAsia" w:ascii="方正仿宋_GBK" w:hAnsi="方正仿宋_GBK" w:eastAsia="方正仿宋_GBK" w:cs="方正仿宋_GBK"/>
                <w:bCs/>
                <w:sz w:val="18"/>
                <w:szCs w:val="18"/>
                <w:lang w:val="zh-CN"/>
              </w:rPr>
              <w:t>受托</w:t>
            </w:r>
            <w:r>
              <w:rPr>
                <w:rFonts w:hint="eastAsia" w:ascii="方正仿宋_GBK" w:hAnsi="方正仿宋_GBK" w:eastAsia="方正仿宋_GBK" w:cs="方正仿宋_GBK"/>
                <w:bCs/>
                <w:sz w:val="18"/>
                <w:szCs w:val="18"/>
              </w:rPr>
              <w:t>生产企业遴选和生产活动的监督管理；（七）化妆品不良反应监测管理。</w:t>
            </w:r>
          </w:p>
          <w:p w14:paraId="4445D2F9">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质量安全负责人应当独立履行职责，不受企业其他人员的干扰。根据企业质量管理体系运行需要，经法定代表人书面同意，质量安全负责人可以指定本企业的其他人员协助履行上述职责中除（一）（二）外的其他职责。被指定人员应当具备相应资质和履职能力，且其协助履行上述职责的时间、具体事项等应当如实记录，确保协助履行职责行为可追溯。质量安全负责人应当对协助履行职责情况进行监督，且其应当承担的法律责任并不转移给被指定人员。</w:t>
            </w:r>
          </w:p>
          <w:p w14:paraId="282DF5CA">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企业应当建立对质量安全负责人的考核制度，定期对质量安全负责人的履职能力和履行职责情况开展考核评估。经考核评估，发现质量安全负责人未按照相关规定履行职责或者履职能力未达到岗位职责要求的，法定代表人应当立即采取督促质量安全负责人改进、更换质量安全负责人等措施，确保质量安全负责人能够依法有效履职。</w:t>
            </w:r>
          </w:p>
          <w:p w14:paraId="15A69E25">
            <w:pPr>
              <w:keepNext w:val="0"/>
              <w:keepLines w:val="0"/>
              <w:pageBreakBefore w:val="0"/>
              <w:widowControl/>
              <w:tabs>
                <w:tab w:val="left" w:pos="0"/>
                <w:tab w:val="left" w:pos="420"/>
              </w:tabs>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pacing w:val="-4"/>
                <w:kern w:val="0"/>
                <w:sz w:val="18"/>
                <w:szCs w:val="18"/>
              </w:rPr>
            </w:pPr>
            <w:r>
              <w:rPr>
                <w:rFonts w:hint="eastAsia" w:ascii="方正仿宋_GBK" w:hAnsi="方正仿宋_GBK" w:eastAsia="方正仿宋_GBK" w:cs="方正仿宋_GBK"/>
                <w:spacing w:val="-4"/>
                <w:kern w:val="0"/>
                <w:sz w:val="18"/>
                <w:szCs w:val="18"/>
              </w:rPr>
              <w:t>企业应当为质量安全负责人学习培训提供必要条件，确保质量安全负责人持续更新质量安全管理的专业知识和法律知识，提高履职能力。质量安全负责人每年相关学习培训不少于40学时。</w:t>
            </w:r>
          </w:p>
          <w:p w14:paraId="24AC81CF">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企业应当为质量安全负责人提供必要的工作条件和岗位待遇，充分保障其依法履行职责。鼓励企业建立对质量安全负责人的激励机制，对工作成效显著的给予表彰和奖励。</w:t>
            </w:r>
          </w:p>
        </w:tc>
        <w:tc>
          <w:tcPr>
            <w:tcW w:w="5522" w:type="dxa"/>
            <w:vAlign w:val="center"/>
          </w:tcPr>
          <w:p w14:paraId="05E0C72A">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第三十二条；</w:t>
            </w: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第二十八条；</w:t>
            </w:r>
            <w:r>
              <w:rPr>
                <w:rFonts w:hint="eastAsia" w:ascii="方正仿宋_GBK" w:hAnsi="方正仿宋_GBK" w:eastAsia="方正仿宋_GBK" w:cs="方正仿宋_GBK"/>
                <w:bCs/>
                <w:sz w:val="18"/>
                <w:szCs w:val="18"/>
              </w:rPr>
              <w:t>《化妆品生产质量管理规范》第五十条；</w:t>
            </w:r>
            <w:r>
              <w:rPr>
                <w:rFonts w:hint="eastAsia" w:ascii="方正仿宋_GBK" w:hAnsi="方正仿宋_GBK" w:eastAsia="方正仿宋_GBK" w:cs="方正仿宋_GBK"/>
                <w:bCs/>
                <w:kern w:val="0"/>
                <w:sz w:val="18"/>
                <w:szCs w:val="18"/>
              </w:rPr>
              <w:t>《企业落实化妆品质量安全主体责任监督管理规定》</w:t>
            </w:r>
            <w:r>
              <w:rPr>
                <w:rFonts w:hint="eastAsia" w:ascii="方正仿宋_GBK" w:hAnsi="方正仿宋_GBK" w:eastAsia="方正仿宋_GBK" w:cs="方正仿宋_GBK"/>
                <w:kern w:val="0"/>
                <w:sz w:val="18"/>
                <w:szCs w:val="18"/>
              </w:rPr>
              <w:t>第二十一条</w:t>
            </w:r>
            <w:r>
              <w:rPr>
                <w:rFonts w:hint="eastAsia" w:ascii="方正仿宋_GBK" w:hAnsi="方正仿宋_GBK" w:eastAsia="方正仿宋_GBK" w:cs="方正仿宋_GBK"/>
                <w:bCs/>
                <w:kern w:val="0"/>
                <w:sz w:val="18"/>
                <w:szCs w:val="18"/>
              </w:rPr>
              <w:t>、</w:t>
            </w:r>
            <w:r>
              <w:rPr>
                <w:rFonts w:hint="eastAsia" w:ascii="方正仿宋_GBK" w:hAnsi="方正仿宋_GBK" w:eastAsia="方正仿宋_GBK" w:cs="方正仿宋_GBK"/>
                <w:kern w:val="0"/>
                <w:sz w:val="18"/>
                <w:szCs w:val="18"/>
              </w:rPr>
              <w:t>第二十二条</w:t>
            </w:r>
            <w:r>
              <w:rPr>
                <w:rFonts w:hint="eastAsia" w:ascii="方正仿宋_GBK" w:hAnsi="方正仿宋_GBK" w:eastAsia="方正仿宋_GBK" w:cs="方正仿宋_GBK"/>
                <w:bCs/>
                <w:kern w:val="0"/>
                <w:sz w:val="18"/>
                <w:szCs w:val="18"/>
              </w:rPr>
              <w:t>、</w:t>
            </w:r>
            <w:r>
              <w:rPr>
                <w:rFonts w:hint="eastAsia" w:ascii="方正仿宋_GBK" w:hAnsi="方正仿宋_GBK" w:eastAsia="方正仿宋_GBK" w:cs="方正仿宋_GBK"/>
                <w:kern w:val="0"/>
                <w:sz w:val="18"/>
                <w:szCs w:val="18"/>
              </w:rPr>
              <w:t>第二十三条。</w:t>
            </w:r>
          </w:p>
        </w:tc>
      </w:tr>
      <w:tr w14:paraId="0F32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761" w:type="dxa"/>
            <w:vMerge w:val="restart"/>
            <w:vAlign w:val="center"/>
          </w:tcPr>
          <w:p w14:paraId="49E02828">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委托生产管理</w:t>
            </w:r>
          </w:p>
        </w:tc>
        <w:tc>
          <w:tcPr>
            <w:tcW w:w="742" w:type="dxa"/>
            <w:vAlign w:val="center"/>
          </w:tcPr>
          <w:p w14:paraId="3CE3363D">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25</w:t>
            </w:r>
          </w:p>
        </w:tc>
        <w:tc>
          <w:tcPr>
            <w:tcW w:w="8525" w:type="dxa"/>
            <w:vAlign w:val="center"/>
          </w:tcPr>
          <w:p w14:paraId="65BE9081">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pacing w:val="6"/>
                <w:sz w:val="18"/>
                <w:szCs w:val="18"/>
              </w:rPr>
            </w:pPr>
            <w:r>
              <w:rPr>
                <w:rFonts w:hint="eastAsia" w:ascii="方正仿宋_GBK" w:hAnsi="方正仿宋_GBK" w:eastAsia="方正仿宋_GBK" w:cs="方正仿宋_GBK"/>
                <w:bCs/>
                <w:sz w:val="18"/>
                <w:szCs w:val="18"/>
              </w:rPr>
              <w:t>委托方应当建立受托生产企业遴选</w:t>
            </w:r>
            <w:r>
              <w:rPr>
                <w:rFonts w:hint="eastAsia" w:ascii="方正仿宋_GBK" w:hAnsi="方正仿宋_GBK" w:eastAsia="方正仿宋_GBK" w:cs="方正仿宋_GBK"/>
                <w:bCs/>
                <w:spacing w:val="6"/>
                <w:sz w:val="18"/>
                <w:szCs w:val="18"/>
              </w:rPr>
              <w:t>标准，在委托生产前，对受托生产企业资质进行审核，考察评估其生产质量管理体系运行状况和生产能力，确保受托生产企业取得相应的化妆品生产许可且具备相应的产品生产能力。</w:t>
            </w:r>
          </w:p>
          <w:p w14:paraId="4B6AF7B2">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委托方应当建立受托生产企业名录和管理档案。</w:t>
            </w:r>
          </w:p>
        </w:tc>
        <w:tc>
          <w:tcPr>
            <w:tcW w:w="5522" w:type="dxa"/>
            <w:vAlign w:val="center"/>
          </w:tcPr>
          <w:p w14:paraId="18E58458">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《化妆品生产质量管理规范》第五十一条。</w:t>
            </w:r>
          </w:p>
        </w:tc>
      </w:tr>
      <w:tr w14:paraId="23A8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761" w:type="dxa"/>
            <w:vMerge w:val="continue"/>
            <w:vAlign w:val="center"/>
          </w:tcPr>
          <w:p w14:paraId="02D44A2B">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07FF6E96">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26</w:t>
            </w:r>
          </w:p>
        </w:tc>
        <w:tc>
          <w:tcPr>
            <w:tcW w:w="8525" w:type="dxa"/>
            <w:vAlign w:val="center"/>
          </w:tcPr>
          <w:p w14:paraId="69DEF74C">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委托方应当与受托生产企业签订委托生产合同，明确委托事项、委托期限、委托双方的质量安全责任，确保受托生产企业依照法律法规、强制性国家标准、技术规范以及化妆品注册、备案资料载明的技术要求组织生产。</w:t>
            </w:r>
          </w:p>
        </w:tc>
        <w:tc>
          <w:tcPr>
            <w:tcW w:w="5522" w:type="dxa"/>
            <w:vAlign w:val="center"/>
          </w:tcPr>
          <w:p w14:paraId="15BC6B7D">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w:t>
            </w:r>
            <w:r>
              <w:rPr>
                <w:rFonts w:hint="eastAsia" w:ascii="方正仿宋_GBK" w:hAnsi="方正仿宋_GBK" w:eastAsia="方正仿宋_GBK" w:cs="方正仿宋_GBK"/>
                <w:bCs/>
                <w:sz w:val="18"/>
                <w:szCs w:val="18"/>
                <w:lang w:val="zh-CN"/>
              </w:rPr>
              <w:t>第五十二条</w:t>
            </w:r>
            <w:r>
              <w:rPr>
                <w:rFonts w:hint="eastAsia" w:ascii="方正仿宋_GBK" w:hAnsi="方正仿宋_GBK" w:eastAsia="方正仿宋_GBK" w:cs="方正仿宋_GBK"/>
                <w:bCs/>
                <w:sz w:val="18"/>
                <w:szCs w:val="18"/>
              </w:rPr>
              <w:t>。</w:t>
            </w:r>
          </w:p>
        </w:tc>
      </w:tr>
      <w:tr w14:paraId="4679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761" w:type="dxa"/>
            <w:vMerge w:val="continue"/>
            <w:vAlign w:val="center"/>
          </w:tcPr>
          <w:p w14:paraId="4C59AC21">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0DF13E44">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27</w:t>
            </w:r>
          </w:p>
        </w:tc>
        <w:tc>
          <w:tcPr>
            <w:tcW w:w="8525" w:type="dxa"/>
            <w:vAlign w:val="center"/>
          </w:tcPr>
          <w:p w14:paraId="36FCB5FD">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委托方应当建立并执行受托生产企业生产活动监督制度，对各环节受托生产企业的生产活动进行监督，确保受托生产企业按照法定要求进行生产。</w:t>
            </w:r>
          </w:p>
          <w:p w14:paraId="68962AC2">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委托方应当建立并执行受托生产企业更换制度，发现受托生产企业的生产条件、生产能力发生变化，不再满足委托生产需要的，应当及时停止委托，根据生产需要更换受托生产企业。</w:t>
            </w:r>
          </w:p>
        </w:tc>
        <w:tc>
          <w:tcPr>
            <w:tcW w:w="5522" w:type="dxa"/>
            <w:vAlign w:val="center"/>
          </w:tcPr>
          <w:p w14:paraId="25F31C96">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w:t>
            </w:r>
            <w:r>
              <w:rPr>
                <w:rFonts w:hint="eastAsia" w:ascii="方正仿宋_GBK" w:hAnsi="方正仿宋_GBK" w:eastAsia="方正仿宋_GBK" w:cs="方正仿宋_GBK"/>
                <w:bCs/>
                <w:sz w:val="18"/>
                <w:szCs w:val="18"/>
                <w:lang w:val="zh-CN"/>
              </w:rPr>
              <w:t>第五十三条。</w:t>
            </w:r>
          </w:p>
        </w:tc>
      </w:tr>
      <w:tr w14:paraId="63EC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761" w:type="dxa"/>
            <w:vMerge w:val="continue"/>
            <w:vAlign w:val="center"/>
          </w:tcPr>
          <w:p w14:paraId="447635FA">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20971001">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28</w:t>
            </w:r>
          </w:p>
        </w:tc>
        <w:tc>
          <w:tcPr>
            <w:tcW w:w="8525" w:type="dxa"/>
            <w:vAlign w:val="center"/>
          </w:tcPr>
          <w:p w14:paraId="6222A14C">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委托方应当建立并执行化妆品注册备案管理、从业人员健康管理、从业人员培训、质量管理体系自查、产品放行管理、产品留样管理、产品销售记录、产品贮存和运输管理、产品退货记录、产品质量投诉管理、产品召回管理等质量管理制度，建立并实施化妆品不良反应监测和评价体系。</w:t>
            </w:r>
          </w:p>
          <w:p w14:paraId="28E3FA5A">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委托方向受托生产企业提供物料的，委托方应当按照本规范要求建立并执行物料供应商遴选、物料审查、物料进货查验记录和验收以及物料放行管理等相关制度。</w:t>
            </w:r>
          </w:p>
          <w:p w14:paraId="176FA196">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委托方应当根据委托生产实际，按照《化妆品生产质量管理规范》建立并执行其他相关质量管理制度。</w:t>
            </w:r>
          </w:p>
          <w:p w14:paraId="18FC0C64">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制定并实施从业人员入职培训和年度培训计划，开展化妆品法律、法规、规章、强制性国家标准、技术规范等知识培训，确保员工熟悉岗位职责，具备履行岗位职责的法律知识、专业知识以及操作技能，考核合格后方可上岗。企业应当建立员工培训档案，包括培训人员、时间、内容、方式及考核情况等。</w:t>
            </w:r>
          </w:p>
          <w:p w14:paraId="6BFE985D">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企业应当建立并执行从业人员健康管理制度。直接从事化妆品生产活动的人员应当在上岗前</w:t>
            </w:r>
            <w:r>
              <w:rPr>
                <w:rFonts w:hint="eastAsia" w:ascii="方正仿宋_GBK" w:hAnsi="方正仿宋_GBK" w:eastAsia="方正仿宋_GBK" w:cs="方正仿宋_GBK"/>
                <w:bCs/>
                <w:spacing w:val="-4"/>
                <w:sz w:val="18"/>
                <w:szCs w:val="18"/>
              </w:rPr>
              <w:t>接受健康检查，上岗后每年接受健康检查。患有国务院卫生主管部门规定的有碍化妆品质量安全疾病的人员不得直接从事化妆品生产活动。企业应当建立从业人员健康档案，至少保存3年。</w:t>
            </w:r>
          </w:p>
          <w:p w14:paraId="730E3904">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企业应当建立并执行质量管理体系自查制度，包括自查时间、自查依据、相关部门和人员职责、自查程序、结果评估等内容。</w:t>
            </w:r>
          </w:p>
          <w:p w14:paraId="0E20660F">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每年对化妆品生产质量管理规范的执行情况进行自查，保存期限不得少于2年。经自查发现生产条件发生变化，不再符合化妆品生产质量管理规范要求的，企业应当立即采取整改措施；发现可能影响化妆品质量安全的，应当立即停止生产，并向所在地省、自治区、直辖市药品监督管理部门报告。影响质量安全的风险因素消除后，方可恢复生产。省、自治区、直辖市药品监督管理部门可以根据实际情况组织现场检查。</w:t>
            </w:r>
          </w:p>
          <w:p w14:paraId="22950050">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lang w:val="en"/>
              </w:rPr>
            </w:pPr>
            <w:r>
              <w:rPr>
                <w:rFonts w:hint="eastAsia" w:ascii="方正仿宋_GBK" w:hAnsi="方正仿宋_GBK" w:eastAsia="方正仿宋_GBK" w:cs="方正仿宋_GBK"/>
                <w:bCs/>
                <w:sz w:val="18"/>
                <w:szCs w:val="18"/>
              </w:rPr>
              <w:t>企业应当建立有因启动自查制度。发生产品抽样检验结果不符合规定、产品可能引发较大社会影响的化妆品不良反应或者引发严重化妆品不良反应等涉及产品质量安全情形的，质量安全负责人应当立即组织采取风险控制等措施，并组织制定自查方案，开展自查工作，查找产品存在质量安全风险的原因，消除风险隐患，并形成产品质量安全风险有因启动自查报告。有因启动自查报告应当包括启动自查原因、发现的问题、产品质量安全评价、整改措施等，经质量安全负责人批准，报告法定代表人，并反馈企业质量安全相关部门。自查整改完成后，质量安全负责人应当组织对化妆品生产质量管理体系进行评估，经评估认为影响化妆品质量安全的风险因素消除，方可解除相应控制措施。</w:t>
            </w:r>
          </w:p>
          <w:p w14:paraId="3F9C1B71">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质量安全负责人发现上述涉及产品质量安全情形属于重大安全风险的，应当立即报告法定代表人，并提出停止相关化妆品生产经营活动等否决建议。法定代表人应当</w:t>
            </w:r>
            <w:r>
              <w:rPr>
                <w:rFonts w:hint="eastAsia" w:ascii="方正仿宋_GBK" w:hAnsi="方正仿宋_GBK" w:eastAsia="方正仿宋_GBK" w:cs="方正仿宋_GBK"/>
                <w:bCs/>
                <w:sz w:val="18"/>
                <w:szCs w:val="18"/>
                <w:lang w:val="zh-TW" w:eastAsia="zh-TW"/>
              </w:rPr>
              <w:t>组织研究</w:t>
            </w:r>
            <w:r>
              <w:rPr>
                <w:rFonts w:hint="eastAsia" w:ascii="方正仿宋_GBK" w:hAnsi="方正仿宋_GBK" w:eastAsia="方正仿宋_GBK" w:cs="方正仿宋_GBK"/>
                <w:bCs/>
                <w:sz w:val="18"/>
                <w:szCs w:val="18"/>
                <w:lang w:val="zh-TW"/>
              </w:rPr>
              <w:t>，</w:t>
            </w:r>
            <w:r>
              <w:rPr>
                <w:rFonts w:hint="eastAsia" w:ascii="方正仿宋_GBK" w:hAnsi="方正仿宋_GBK" w:eastAsia="方正仿宋_GBK" w:cs="方正仿宋_GBK"/>
                <w:bCs/>
                <w:sz w:val="18"/>
                <w:szCs w:val="18"/>
              </w:rPr>
              <w:t>并采取处置措施。</w:t>
            </w:r>
          </w:p>
          <w:p w14:paraId="236FDF2B">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自查实施前应当制定自查方案，自查完成后应当形成自查报告。自查报告应当包括发现的问题、产品质量安全评价、整改措施等。自查报告应当经质量安全负责人批准，报告法定代表人，并反馈企业相关部门。企业应当对整改情况进行跟踪评价。</w:t>
            </w:r>
          </w:p>
        </w:tc>
        <w:tc>
          <w:tcPr>
            <w:tcW w:w="5522" w:type="dxa"/>
            <w:vAlign w:val="center"/>
          </w:tcPr>
          <w:p w14:paraId="4BC0A3F3">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第三十三条、第三十四条；</w:t>
            </w: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第二十九条、第三十条、第三十三条、第三十四条；</w:t>
            </w:r>
            <w:r>
              <w:rPr>
                <w:rFonts w:hint="eastAsia" w:ascii="方正仿宋_GBK" w:hAnsi="方正仿宋_GBK" w:eastAsia="方正仿宋_GBK" w:cs="方正仿宋_GBK"/>
                <w:bCs/>
                <w:sz w:val="18"/>
                <w:szCs w:val="18"/>
              </w:rPr>
              <w:t>《化妆品生产质量管理规范》第十条、第十一条、第十五条、</w:t>
            </w:r>
            <w:r>
              <w:rPr>
                <w:rFonts w:hint="eastAsia" w:ascii="方正仿宋_GBK" w:hAnsi="方正仿宋_GBK" w:eastAsia="方正仿宋_GBK" w:cs="方正仿宋_GBK"/>
                <w:bCs/>
                <w:sz w:val="18"/>
                <w:szCs w:val="18"/>
                <w:lang w:val="zh-CN"/>
              </w:rPr>
              <w:t>第五十四条</w:t>
            </w:r>
            <w:r>
              <w:rPr>
                <w:rFonts w:hint="eastAsia" w:ascii="方正仿宋_GBK" w:hAnsi="方正仿宋_GBK" w:eastAsia="方正仿宋_GBK" w:cs="方正仿宋_GBK"/>
                <w:bCs/>
                <w:sz w:val="18"/>
                <w:szCs w:val="18"/>
              </w:rPr>
              <w:t>。</w:t>
            </w:r>
          </w:p>
        </w:tc>
      </w:tr>
      <w:tr w14:paraId="42C9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1" w:type="dxa"/>
            <w:vMerge w:val="restart"/>
            <w:vAlign w:val="center"/>
          </w:tcPr>
          <w:p w14:paraId="10B5EBFC">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委托生产管理</w:t>
            </w:r>
          </w:p>
        </w:tc>
        <w:tc>
          <w:tcPr>
            <w:tcW w:w="742" w:type="dxa"/>
            <w:vAlign w:val="center"/>
          </w:tcPr>
          <w:p w14:paraId="5E3BD21D">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29</w:t>
            </w:r>
          </w:p>
        </w:tc>
        <w:tc>
          <w:tcPr>
            <w:tcW w:w="8525" w:type="dxa"/>
            <w:vAlign w:val="center"/>
          </w:tcPr>
          <w:p w14:paraId="6015440E">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委托方应当建立并执行产品放行管理制度，在受托生产企业完成产品出厂放行的基础上，确保产品经检验合格且相关生产和质量活动记录经审核批准后，方可上市放行。</w:t>
            </w:r>
          </w:p>
          <w:p w14:paraId="4786B506">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上市销售的化妆品应当附有出厂检验报告或者合格标记等形式的产品质量检验合格证明。</w:t>
            </w:r>
          </w:p>
        </w:tc>
        <w:tc>
          <w:tcPr>
            <w:tcW w:w="5522" w:type="dxa"/>
            <w:vAlign w:val="center"/>
          </w:tcPr>
          <w:p w14:paraId="33D7C8F5">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w:t>
            </w:r>
            <w:r>
              <w:rPr>
                <w:rFonts w:hint="eastAsia" w:ascii="方正仿宋_GBK" w:hAnsi="方正仿宋_GBK" w:eastAsia="方正仿宋_GBK" w:cs="方正仿宋_GBK"/>
                <w:bCs/>
                <w:sz w:val="18"/>
                <w:szCs w:val="18"/>
                <w:lang w:val="zh-CN"/>
              </w:rPr>
              <w:t>第五十五条。</w:t>
            </w:r>
          </w:p>
        </w:tc>
      </w:tr>
      <w:tr w14:paraId="2C77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761" w:type="dxa"/>
            <w:vMerge w:val="continue"/>
            <w:vAlign w:val="center"/>
          </w:tcPr>
          <w:p w14:paraId="260AF5D9">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2FC62832">
            <w:pPr>
              <w:keepNext w:val="0"/>
              <w:keepLines w:val="0"/>
              <w:pageBreakBefore w:val="0"/>
              <w:widowControl/>
              <w:kinsoku/>
              <w:wordWrap/>
              <w:overflowPunct/>
              <w:topLinePunct w:val="0"/>
              <w:autoSpaceDE/>
              <w:autoSpaceDN/>
              <w:bidi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30</w:t>
            </w:r>
          </w:p>
        </w:tc>
        <w:tc>
          <w:tcPr>
            <w:tcW w:w="8525" w:type="dxa"/>
            <w:vAlign w:val="center"/>
          </w:tcPr>
          <w:p w14:paraId="5F354808">
            <w:pPr>
              <w:keepNext w:val="0"/>
              <w:keepLines w:val="0"/>
              <w:pageBreakBefore w:val="0"/>
              <w:widowControl/>
              <w:kinsoku/>
              <w:wordWrap/>
              <w:overflowPunct/>
              <w:topLinePunct w:val="0"/>
              <w:autoSpaceDE/>
              <w:autoSpaceDN/>
              <w:bidi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委托方应当建立并执行留样管理制度，在其住所或者主要经营场所留样；也可以在其住所或者主要经营场所所在地的其他经营场所留样。</w:t>
            </w:r>
          </w:p>
          <w:p w14:paraId="57729C1C">
            <w:pPr>
              <w:keepNext w:val="0"/>
              <w:keepLines w:val="0"/>
              <w:pageBreakBefore w:val="0"/>
              <w:widowControl/>
              <w:kinsoku/>
              <w:wordWrap/>
              <w:overflowPunct/>
              <w:topLinePunct w:val="0"/>
              <w:autoSpaceDE/>
              <w:autoSpaceDN/>
              <w:bidi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每批出厂的产品均应当留样，留样数量至少达到出厂检验需求量的2倍，并应当满足产品质量检验的要求。</w:t>
            </w:r>
          </w:p>
          <w:p w14:paraId="0964ABD6">
            <w:pPr>
              <w:keepNext w:val="0"/>
              <w:keepLines w:val="0"/>
              <w:pageBreakBefore w:val="0"/>
              <w:widowControl/>
              <w:kinsoku/>
              <w:wordWrap/>
              <w:overflowPunct/>
              <w:topLinePunct w:val="0"/>
              <w:autoSpaceDE/>
              <w:autoSpaceDN/>
              <w:bidi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出厂的产品为成品的，留样应当保持原始销售包装。销售包装为套盒形式，该销售包装内含有多个化妆品且全部为最小销售单元的，如果已经对包装内的最小销售单元留样，可以不对该销售包装产品整体留样，但应当留存能够满足质量追溯需求的套盒外包装。</w:t>
            </w:r>
          </w:p>
          <w:p w14:paraId="4A2633AF">
            <w:pPr>
              <w:keepNext w:val="0"/>
              <w:keepLines w:val="0"/>
              <w:pageBreakBefore w:val="0"/>
              <w:widowControl/>
              <w:kinsoku/>
              <w:wordWrap/>
              <w:overflowPunct/>
              <w:topLinePunct w:val="0"/>
              <w:autoSpaceDE/>
              <w:autoSpaceDN/>
              <w:bidi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出厂的产品为半成品的，留样应当密封且能够保证产品质量稳定，并有符合要求的标签信息，保证可追溯。</w:t>
            </w:r>
          </w:p>
          <w:p w14:paraId="71852303">
            <w:pPr>
              <w:keepNext w:val="0"/>
              <w:keepLines w:val="0"/>
              <w:pageBreakBefore w:val="0"/>
              <w:widowControl/>
              <w:kinsoku/>
              <w:wordWrap/>
              <w:overflowPunct/>
              <w:topLinePunct w:val="0"/>
              <w:autoSpaceDE/>
              <w:autoSpaceDN/>
              <w:bidi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依照相关法律法规的规定和标签标示的要求贮存留样的产品，并保存留样记录。留样保存期限不得少于产品使用期限届满后6个月。发现留样的产品在使用期限内变质的，企业应当及时分析原因，并依法召回已上市销售的该批次化妆品，主动消除安全风险。</w:t>
            </w:r>
          </w:p>
          <w:p w14:paraId="0ADEC5F8">
            <w:pPr>
              <w:keepNext w:val="0"/>
              <w:keepLines w:val="0"/>
              <w:pageBreakBefore w:val="0"/>
              <w:widowControl/>
              <w:kinsoku/>
              <w:wordWrap/>
              <w:overflowPunct/>
              <w:topLinePunct w:val="0"/>
              <w:autoSpaceDE/>
              <w:autoSpaceDN/>
              <w:bidi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留样地点不是委托方的住所或者主要经营场所的，委托方应当将留样地点的地址等信息在首次留样之日起20个工作日内，按规定向所在地负责药品监督管理的部门报告。</w:t>
            </w:r>
          </w:p>
        </w:tc>
        <w:tc>
          <w:tcPr>
            <w:tcW w:w="5522" w:type="dxa"/>
            <w:vAlign w:val="center"/>
          </w:tcPr>
          <w:p w14:paraId="598CE5FF">
            <w:pPr>
              <w:keepNext w:val="0"/>
              <w:keepLines w:val="0"/>
              <w:pageBreakBefore w:val="0"/>
              <w:widowControl/>
              <w:kinsoku/>
              <w:wordWrap/>
              <w:overflowPunct/>
              <w:topLinePunct w:val="0"/>
              <w:autoSpaceDE/>
              <w:autoSpaceDN/>
              <w:bidi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第三十一条；</w:t>
            </w:r>
            <w:r>
              <w:rPr>
                <w:rFonts w:hint="eastAsia" w:ascii="方正仿宋_GBK" w:hAnsi="方正仿宋_GBK" w:eastAsia="方正仿宋_GBK" w:cs="方正仿宋_GBK"/>
                <w:bCs/>
                <w:sz w:val="18"/>
                <w:szCs w:val="18"/>
              </w:rPr>
              <w:t>《化妆品生产质量管理规范》</w:t>
            </w:r>
            <w:r>
              <w:rPr>
                <w:rFonts w:hint="eastAsia" w:ascii="方正仿宋_GBK" w:hAnsi="方正仿宋_GBK" w:eastAsia="方正仿宋_GBK" w:cs="方正仿宋_GBK"/>
                <w:bCs/>
                <w:sz w:val="18"/>
                <w:szCs w:val="18"/>
                <w:lang w:val="zh-CN"/>
              </w:rPr>
              <w:t>第五十六条。</w:t>
            </w:r>
          </w:p>
        </w:tc>
      </w:tr>
      <w:tr w14:paraId="2E84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761" w:type="dxa"/>
            <w:vAlign w:val="center"/>
          </w:tcPr>
          <w:p w14:paraId="73340C33">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委托生产管理</w:t>
            </w:r>
          </w:p>
        </w:tc>
        <w:tc>
          <w:tcPr>
            <w:tcW w:w="742" w:type="dxa"/>
            <w:vAlign w:val="center"/>
          </w:tcPr>
          <w:p w14:paraId="1EEC2AA4">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31</w:t>
            </w:r>
          </w:p>
        </w:tc>
        <w:tc>
          <w:tcPr>
            <w:tcW w:w="8525" w:type="dxa"/>
            <w:vAlign w:val="center"/>
          </w:tcPr>
          <w:p w14:paraId="31A21185">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委托方应当建立并执行记录管理制度，保存与本规范有关活动的记录。记录应当真实、完整、准确，清晰易辨，相互关联可追溯，不得随意更改，更正应当留痕并签注更正人姓名及日期。</w:t>
            </w:r>
          </w:p>
          <w:p w14:paraId="286E312B">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采用计算机（电子化）系统生成、保存记录或者数据的，应当符合本规范附1的要求。</w:t>
            </w:r>
          </w:p>
          <w:p w14:paraId="4AC8F614">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记录应当标示清晰，存放有序，便于查阅。与产品追溯相关的记录，其保存期限不得少于产品使用期限届满后1年；产品使用期限不足1年的，记录保存期限不得少于2年。与产品追溯不相关的记录，其保存期限不得少于2年。记录保存期限另有规定的从其规定。</w:t>
            </w:r>
          </w:p>
          <w:p w14:paraId="044EB17C">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kern w:val="0"/>
                <w:sz w:val="18"/>
                <w:szCs w:val="18"/>
              </w:rPr>
              <w:t>企业应当将法定代表人、质量安全负责人等人员的设置变更、岗位职责、职责履行、考核评估、学习培训情况，以及质量安全负责人提出的意见建议和风险防控动态管理机制执行等情况予以记录并存档备查。</w:t>
            </w:r>
          </w:p>
          <w:p w14:paraId="2C7E2A3E">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pacing w:val="-4"/>
                <w:kern w:val="0"/>
                <w:sz w:val="18"/>
                <w:szCs w:val="18"/>
              </w:rPr>
            </w:pPr>
            <w:r>
              <w:rPr>
                <w:rFonts w:hint="eastAsia" w:ascii="方正仿宋_GBK" w:hAnsi="方正仿宋_GBK" w:eastAsia="方正仿宋_GBK" w:cs="方正仿宋_GBK"/>
                <w:bCs/>
                <w:spacing w:val="-4"/>
                <w:sz w:val="18"/>
                <w:szCs w:val="18"/>
              </w:rPr>
              <w:t>执行生产质量管理规范的相关记录由受托生产企业保存的，委托方应当监督其保存相关记录。</w:t>
            </w:r>
          </w:p>
        </w:tc>
        <w:tc>
          <w:tcPr>
            <w:tcW w:w="5522" w:type="dxa"/>
            <w:vAlign w:val="center"/>
          </w:tcPr>
          <w:p w14:paraId="3032127B">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rPr>
              <w:t>《企业落实化妆品质量安全主体责任监督管理规定》</w:t>
            </w:r>
            <w:r>
              <w:rPr>
                <w:rFonts w:hint="eastAsia" w:ascii="方正仿宋_GBK" w:hAnsi="方正仿宋_GBK" w:eastAsia="方正仿宋_GBK" w:cs="方正仿宋_GBK"/>
                <w:kern w:val="0"/>
                <w:sz w:val="18"/>
                <w:szCs w:val="18"/>
              </w:rPr>
              <w:t>第二十四条；</w:t>
            </w:r>
            <w:r>
              <w:rPr>
                <w:rFonts w:hint="eastAsia" w:ascii="方正仿宋_GBK" w:hAnsi="方正仿宋_GBK" w:eastAsia="方正仿宋_GBK" w:cs="方正仿宋_GBK"/>
                <w:bCs/>
                <w:sz w:val="18"/>
                <w:szCs w:val="18"/>
              </w:rPr>
              <w:t>《化妆品生产质量管理规范》</w:t>
            </w:r>
            <w:r>
              <w:rPr>
                <w:rFonts w:hint="eastAsia" w:ascii="方正仿宋_GBK" w:hAnsi="方正仿宋_GBK" w:eastAsia="方正仿宋_GBK" w:cs="方正仿宋_GBK"/>
                <w:bCs/>
                <w:sz w:val="18"/>
                <w:szCs w:val="18"/>
                <w:lang w:val="zh-CN"/>
              </w:rPr>
              <w:t>第五十七条</w:t>
            </w:r>
            <w:r>
              <w:rPr>
                <w:rFonts w:hint="eastAsia" w:ascii="方正仿宋_GBK" w:hAnsi="方正仿宋_GBK" w:eastAsia="方正仿宋_GBK" w:cs="方正仿宋_GBK"/>
                <w:bCs/>
                <w:sz w:val="18"/>
                <w:szCs w:val="18"/>
              </w:rPr>
              <w:t>。</w:t>
            </w:r>
          </w:p>
        </w:tc>
      </w:tr>
      <w:tr w14:paraId="5BE2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761" w:type="dxa"/>
            <w:vMerge w:val="restart"/>
            <w:vAlign w:val="center"/>
          </w:tcPr>
          <w:p w14:paraId="592A8289">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产品销售管理</w:t>
            </w:r>
          </w:p>
        </w:tc>
        <w:tc>
          <w:tcPr>
            <w:tcW w:w="742" w:type="dxa"/>
            <w:vAlign w:val="center"/>
          </w:tcPr>
          <w:p w14:paraId="7E8FD9A9">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32</w:t>
            </w:r>
          </w:p>
        </w:tc>
        <w:tc>
          <w:tcPr>
            <w:tcW w:w="8525" w:type="dxa"/>
            <w:vAlign w:val="center"/>
          </w:tcPr>
          <w:p w14:paraId="5F108D18">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企业应当建立并执行产品销售记录制度，并确保所销售产品的出货单据、销售记录与货品实物一致。</w:t>
            </w:r>
          </w:p>
          <w:p w14:paraId="612EE6CB">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产品销售记录应当至少包括产品名称、特殊化妆品注册证编号或者普通化妆品备案编号、使用期限、净含量、数量、销售日期、价格，以及购买者名称、地址和联系方式等内容。</w:t>
            </w:r>
          </w:p>
          <w:p w14:paraId="1CA69EFE">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记录应当真实、完整，保证可追溯，保存期限不得少于产品使用期限期满后1年；产品使用期限不足1年的，记录保存期限不得少于2年。</w:t>
            </w:r>
          </w:p>
        </w:tc>
        <w:tc>
          <w:tcPr>
            <w:tcW w:w="5522" w:type="dxa"/>
            <w:vAlign w:val="center"/>
          </w:tcPr>
          <w:p w14:paraId="72C8A220">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第三十二条</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bCs/>
                <w:sz w:val="18"/>
                <w:szCs w:val="18"/>
              </w:rPr>
              <w:t>《化妆品生产质量管理规范》第五十八条。</w:t>
            </w:r>
          </w:p>
        </w:tc>
      </w:tr>
      <w:tr w14:paraId="1AEB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761" w:type="dxa"/>
            <w:vMerge w:val="continue"/>
            <w:vAlign w:val="center"/>
          </w:tcPr>
          <w:p w14:paraId="66A0655C">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4CD336C1">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33</w:t>
            </w:r>
          </w:p>
        </w:tc>
        <w:tc>
          <w:tcPr>
            <w:tcW w:w="8525" w:type="dxa"/>
            <w:vAlign w:val="center"/>
          </w:tcPr>
          <w:p w14:paraId="5406CA5E">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注册人、备案人、受托生产企业应当建立并执行产品贮存和运输管理制度。依照有关法律法规的规定和产品标签标示的要求贮存、运输产品，定期检查并且及时处理变质或者超过使用期限等质量异常的产品。</w:t>
            </w:r>
          </w:p>
        </w:tc>
        <w:tc>
          <w:tcPr>
            <w:tcW w:w="5522" w:type="dxa"/>
            <w:vAlign w:val="center"/>
          </w:tcPr>
          <w:p w14:paraId="71E8140E">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第三十九条；</w:t>
            </w:r>
            <w:r>
              <w:rPr>
                <w:rFonts w:hint="eastAsia" w:ascii="方正仿宋_GBK" w:hAnsi="方正仿宋_GBK" w:eastAsia="方正仿宋_GBK" w:cs="方正仿宋_GBK"/>
                <w:bCs/>
                <w:sz w:val="18"/>
                <w:szCs w:val="18"/>
              </w:rPr>
              <w:t>《化妆品生产质量管理规范》第五十九条。</w:t>
            </w:r>
          </w:p>
        </w:tc>
      </w:tr>
      <w:tr w14:paraId="60EA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761" w:type="dxa"/>
            <w:vMerge w:val="restart"/>
            <w:vAlign w:val="center"/>
          </w:tcPr>
          <w:p w14:paraId="3DE88166">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产品销售管理</w:t>
            </w:r>
          </w:p>
        </w:tc>
        <w:tc>
          <w:tcPr>
            <w:tcW w:w="742" w:type="dxa"/>
            <w:vAlign w:val="center"/>
          </w:tcPr>
          <w:p w14:paraId="6F4FB4FE">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34</w:t>
            </w:r>
          </w:p>
        </w:tc>
        <w:tc>
          <w:tcPr>
            <w:tcW w:w="8525" w:type="dxa"/>
            <w:vAlign w:val="center"/>
          </w:tcPr>
          <w:p w14:paraId="5AC4B444">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化妆品注册人、备案人、受托生产企业应当建立并执行退货记录制度。</w:t>
            </w:r>
          </w:p>
          <w:p w14:paraId="74ADA54A">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退货记录内容应当包括退货单位、产品名称、净含量、使用期限、数量、退货原因以及处理结果等内容。</w:t>
            </w:r>
          </w:p>
        </w:tc>
        <w:tc>
          <w:tcPr>
            <w:tcW w:w="5522" w:type="dxa"/>
            <w:vAlign w:val="center"/>
          </w:tcPr>
          <w:p w14:paraId="223E8435">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《化妆品生产质量管理规范》第六十条。</w:t>
            </w:r>
          </w:p>
        </w:tc>
      </w:tr>
      <w:tr w14:paraId="5B22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761" w:type="dxa"/>
            <w:vMerge w:val="continue"/>
            <w:vAlign w:val="center"/>
          </w:tcPr>
          <w:p w14:paraId="76505E58">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26683F97">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35</w:t>
            </w:r>
          </w:p>
        </w:tc>
        <w:tc>
          <w:tcPr>
            <w:tcW w:w="8525" w:type="dxa"/>
            <w:vAlign w:val="center"/>
          </w:tcPr>
          <w:p w14:paraId="3E185A85">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化妆品注册人、备案人、受托生产企业应当建立并执行产品质量投诉管理制度，指定人员负责处理产品质量投诉并记录。质量管理部门应当对投诉内容进行分析评估，并提升产品质量。</w:t>
            </w:r>
          </w:p>
        </w:tc>
        <w:tc>
          <w:tcPr>
            <w:tcW w:w="5522" w:type="dxa"/>
            <w:vAlign w:val="center"/>
          </w:tcPr>
          <w:p w14:paraId="381AC8A3">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《化妆品生产质量管理规范》第六十一条。</w:t>
            </w:r>
          </w:p>
        </w:tc>
      </w:tr>
      <w:tr w14:paraId="47BB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761" w:type="dxa"/>
            <w:vMerge w:val="continue"/>
            <w:vAlign w:val="center"/>
          </w:tcPr>
          <w:p w14:paraId="08C4DBCC">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6E17328C">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36</w:t>
            </w:r>
          </w:p>
        </w:tc>
        <w:tc>
          <w:tcPr>
            <w:tcW w:w="8525" w:type="dxa"/>
            <w:vAlign w:val="center"/>
          </w:tcPr>
          <w:p w14:paraId="05DA4925">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化妆品注册人、备案人应当建立并实施</w:t>
            </w:r>
            <w:r>
              <w:rPr>
                <w:rFonts w:hint="eastAsia" w:ascii="方正仿宋_GBK" w:hAnsi="方正仿宋_GBK" w:eastAsia="方正仿宋_GBK" w:cs="方正仿宋_GBK"/>
                <w:sz w:val="18"/>
                <w:szCs w:val="18"/>
              </w:rPr>
              <w:t>化妆品不良反应监测和评价体系。</w:t>
            </w:r>
            <w:r>
              <w:rPr>
                <w:rFonts w:hint="eastAsia" w:ascii="方正仿宋_GBK" w:hAnsi="方正仿宋_GBK" w:eastAsia="方正仿宋_GBK" w:cs="方正仿宋_GBK"/>
                <w:kern w:val="0"/>
                <w:sz w:val="18"/>
                <w:szCs w:val="18"/>
              </w:rPr>
              <w:t>应当监测其上市销售化妆品的不良反应，及时开展评价，按照国务院药品监督管理部门的规定向化妆品不良反应监测机构报告。</w:t>
            </w:r>
            <w:r>
              <w:rPr>
                <w:rFonts w:hint="eastAsia" w:ascii="方正仿宋_GBK" w:hAnsi="方正仿宋_GBK" w:eastAsia="方正仿宋_GBK" w:cs="方正仿宋_GBK"/>
                <w:bCs/>
                <w:sz w:val="18"/>
                <w:szCs w:val="18"/>
              </w:rPr>
              <w:t>受托生产企业应当</w:t>
            </w:r>
            <w:r>
              <w:rPr>
                <w:rFonts w:hint="eastAsia" w:ascii="方正仿宋_GBK" w:hAnsi="方正仿宋_GBK" w:eastAsia="方正仿宋_GBK" w:cs="方正仿宋_GBK"/>
                <w:sz w:val="18"/>
                <w:szCs w:val="18"/>
              </w:rPr>
              <w:t>建立并执行化妆品不良反应监测制度</w:t>
            </w:r>
            <w:r>
              <w:rPr>
                <w:rFonts w:hint="eastAsia" w:ascii="方正仿宋_GBK" w:hAnsi="方正仿宋_GBK" w:eastAsia="方正仿宋_GBK" w:cs="方正仿宋_GBK"/>
                <w:bCs/>
                <w:sz w:val="18"/>
                <w:szCs w:val="18"/>
              </w:rPr>
              <w:t>。</w:t>
            </w:r>
          </w:p>
          <w:p w14:paraId="741DFA07">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化妆品注册人、备案人、受托生产企业应当配备与其生产化妆品品种、数量相适应的机构和人员，</w:t>
            </w:r>
            <w:r>
              <w:rPr>
                <w:rFonts w:hint="eastAsia" w:ascii="方正仿宋_GBK" w:hAnsi="方正仿宋_GBK" w:eastAsia="方正仿宋_GBK" w:cs="方正仿宋_GBK"/>
                <w:bCs/>
                <w:sz w:val="18"/>
                <w:szCs w:val="18"/>
              </w:rPr>
              <w:t>按规定开展不良反应监测工作，并形成监测记录</w:t>
            </w:r>
            <w:r>
              <w:rPr>
                <w:rFonts w:hint="eastAsia" w:ascii="方正仿宋_GBK" w:hAnsi="方正仿宋_GBK" w:eastAsia="方正仿宋_GBK" w:cs="方正仿宋_GBK"/>
                <w:sz w:val="18"/>
                <w:szCs w:val="18"/>
              </w:rPr>
              <w:t>。</w:t>
            </w:r>
          </w:p>
        </w:tc>
        <w:tc>
          <w:tcPr>
            <w:tcW w:w="5522" w:type="dxa"/>
            <w:vAlign w:val="center"/>
          </w:tcPr>
          <w:p w14:paraId="4C27B468">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第五十二条；</w:t>
            </w:r>
            <w:r>
              <w:rPr>
                <w:rFonts w:hint="eastAsia" w:ascii="方正仿宋_GBK" w:hAnsi="方正仿宋_GBK" w:eastAsia="方正仿宋_GBK" w:cs="方正仿宋_GBK"/>
                <w:bCs/>
                <w:sz w:val="18"/>
                <w:szCs w:val="18"/>
              </w:rPr>
              <w:t>《化妆品生产质量管理规范》第六十二条。</w:t>
            </w:r>
          </w:p>
        </w:tc>
      </w:tr>
      <w:tr w14:paraId="6D8D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761" w:type="dxa"/>
            <w:vMerge w:val="continue"/>
            <w:vAlign w:val="center"/>
          </w:tcPr>
          <w:p w14:paraId="09DB2A5F">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A0ACC96">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37</w:t>
            </w:r>
          </w:p>
        </w:tc>
        <w:tc>
          <w:tcPr>
            <w:tcW w:w="8525" w:type="dxa"/>
            <w:vAlign w:val="center"/>
          </w:tcPr>
          <w:p w14:paraId="173FE3AD">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化妆品注册人、备案人应当建立并执行产品召回管理制度，依法实施召回工作。发现产品存在质量缺陷或者其他问题，可能危害人体健康的，应当立即停止生产，召回已经上市销售的产品，通知相关化妆品经营者和消费者停止经营、使用，记录召回和通知情况。对召回的产品，应当清晰标识、单独存放，并视情况采取补救、无害化处理、销毁等措施。因产品质量问题实施的化妆品召回和处理情况，化妆品注册人、备案人应当及时向所在地省、自治区、直辖市药品监督管理部门报告。</w:t>
            </w:r>
          </w:p>
          <w:p w14:paraId="63C63E08">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受托生产企业应当建立并执行产品配合召回制度。发现其生产的产品有第一款规定情形的，应当立即停止生产，并通知相关化妆品注册人、备案人。化妆品注册人、备案人实施召回的，受托生产企业应当予以配合。</w:t>
            </w:r>
          </w:p>
          <w:p w14:paraId="7B97FB88">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召回记录内容应当至少包括产品名称、净含量、使用期限、召回数量、实际召回数量、召回原因、召回时间、处理结果、向监管部门报告情况等。</w:t>
            </w:r>
          </w:p>
        </w:tc>
        <w:tc>
          <w:tcPr>
            <w:tcW w:w="5522" w:type="dxa"/>
            <w:vAlign w:val="center"/>
          </w:tcPr>
          <w:p w14:paraId="16ED2209">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第四十四条；</w:t>
            </w:r>
            <w:r>
              <w:rPr>
                <w:rFonts w:hint="eastAsia" w:ascii="方正仿宋_GBK" w:hAnsi="方正仿宋_GBK" w:eastAsia="方正仿宋_GBK" w:cs="方正仿宋_GBK"/>
                <w:bCs/>
                <w:sz w:val="18"/>
                <w:szCs w:val="18"/>
              </w:rPr>
              <w:t>《化妆品生产质量管理规范》第六十三条。</w:t>
            </w:r>
          </w:p>
        </w:tc>
      </w:tr>
    </w:tbl>
    <w:p w14:paraId="7DC3B8B6">
      <w:pPr>
        <w:rPr>
          <w:rFonts w:ascii="Times New Roman" w:hAnsi="Times New Roman"/>
        </w:rPr>
      </w:pPr>
    </w:p>
    <w:tbl>
      <w:tblPr>
        <w:tblStyle w:val="9"/>
        <w:tblW w:w="15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742"/>
        <w:gridCol w:w="8525"/>
        <w:gridCol w:w="5522"/>
      </w:tblGrid>
      <w:tr w14:paraId="6850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762" w:type="dxa"/>
            <w:vAlign w:val="center"/>
          </w:tcPr>
          <w:p w14:paraId="6CE2462B">
            <w:pPr>
              <w:spacing w:line="400" w:lineRule="exact"/>
              <w:jc w:val="center"/>
              <w:textAlignment w:val="center"/>
              <w:rPr>
                <w:rFonts w:eastAsia="方正黑体_GBK" w:cs="黑体"/>
                <w:bCs/>
                <w:spacing w:val="-10"/>
                <w:kern w:val="0"/>
                <w:sz w:val="18"/>
                <w:szCs w:val="18"/>
              </w:rPr>
            </w:pPr>
            <w:r>
              <w:rPr>
                <w:rFonts w:hint="eastAsia" w:eastAsia="方正黑体_GBK" w:cs="黑体"/>
                <w:bCs/>
                <w:spacing w:val="-10"/>
                <w:kern w:val="0"/>
                <w:sz w:val="18"/>
                <w:szCs w:val="18"/>
              </w:rPr>
              <w:t>表9</w:t>
            </w:r>
          </w:p>
        </w:tc>
        <w:tc>
          <w:tcPr>
            <w:tcW w:w="14789" w:type="dxa"/>
            <w:gridSpan w:val="3"/>
            <w:vAlign w:val="center"/>
          </w:tcPr>
          <w:p w14:paraId="4DE6CA05">
            <w:pPr>
              <w:spacing w:line="400" w:lineRule="exact"/>
              <w:jc w:val="center"/>
              <w:rPr>
                <w:rFonts w:eastAsia="方正黑体_GBK" w:cs="黑体"/>
                <w:bCs/>
                <w:kern w:val="0"/>
                <w:sz w:val="18"/>
                <w:szCs w:val="18"/>
              </w:rPr>
            </w:pPr>
            <w:r>
              <w:rPr>
                <w:rFonts w:hint="eastAsia" w:eastAsia="方正黑体_GBK" w:cs="黑体"/>
                <w:kern w:val="0"/>
                <w:sz w:val="18"/>
                <w:szCs w:val="18"/>
              </w:rPr>
              <w:t>化妆品注册人、备案人（自主生产）主体责任清单</w:t>
            </w:r>
          </w:p>
        </w:tc>
      </w:tr>
      <w:tr w14:paraId="376A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762" w:type="dxa"/>
            <w:vAlign w:val="center"/>
          </w:tcPr>
          <w:p w14:paraId="7215CE22">
            <w:pPr>
              <w:spacing w:line="400" w:lineRule="exact"/>
              <w:jc w:val="center"/>
              <w:textAlignment w:val="center"/>
              <w:rPr>
                <w:rFonts w:eastAsia="方正黑体_GBK" w:cs="黑体"/>
                <w:bCs/>
                <w:kern w:val="0"/>
                <w:sz w:val="18"/>
                <w:szCs w:val="18"/>
              </w:rPr>
            </w:pPr>
            <w:r>
              <w:rPr>
                <w:rFonts w:hint="eastAsia" w:eastAsia="方正黑体_GBK" w:cs="黑体"/>
                <w:bCs/>
                <w:kern w:val="0"/>
                <w:sz w:val="18"/>
                <w:szCs w:val="18"/>
              </w:rPr>
              <w:t>分类</w:t>
            </w:r>
          </w:p>
        </w:tc>
        <w:tc>
          <w:tcPr>
            <w:tcW w:w="742" w:type="dxa"/>
            <w:vAlign w:val="center"/>
          </w:tcPr>
          <w:p w14:paraId="20C5B972">
            <w:pPr>
              <w:spacing w:line="400" w:lineRule="exact"/>
              <w:jc w:val="center"/>
              <w:textAlignment w:val="center"/>
              <w:rPr>
                <w:rFonts w:eastAsia="方正黑体_GBK" w:cs="黑体"/>
                <w:bCs/>
                <w:kern w:val="0"/>
                <w:sz w:val="18"/>
                <w:szCs w:val="18"/>
              </w:rPr>
            </w:pPr>
            <w:r>
              <w:rPr>
                <w:rFonts w:hint="eastAsia" w:eastAsia="方正黑体_GBK" w:cs="黑体"/>
                <w:bCs/>
                <w:kern w:val="0"/>
                <w:sz w:val="18"/>
                <w:szCs w:val="18"/>
              </w:rPr>
              <w:t>序号</w:t>
            </w:r>
          </w:p>
        </w:tc>
        <w:tc>
          <w:tcPr>
            <w:tcW w:w="8525" w:type="dxa"/>
            <w:vAlign w:val="center"/>
          </w:tcPr>
          <w:p w14:paraId="5864FD58">
            <w:pPr>
              <w:spacing w:line="400" w:lineRule="exact"/>
              <w:jc w:val="center"/>
              <w:textAlignment w:val="center"/>
              <w:rPr>
                <w:rFonts w:eastAsia="方正黑体_GBK" w:cs="黑体"/>
                <w:bCs/>
                <w:kern w:val="0"/>
                <w:sz w:val="18"/>
                <w:szCs w:val="18"/>
              </w:rPr>
            </w:pPr>
            <w:r>
              <w:rPr>
                <w:rFonts w:hint="eastAsia" w:eastAsia="方正黑体_GBK" w:cs="黑体"/>
                <w:bCs/>
                <w:kern w:val="0"/>
                <w:sz w:val="18"/>
                <w:szCs w:val="18"/>
              </w:rPr>
              <w:t>主体责任</w:t>
            </w:r>
          </w:p>
        </w:tc>
        <w:tc>
          <w:tcPr>
            <w:tcW w:w="5522" w:type="dxa"/>
            <w:vAlign w:val="center"/>
          </w:tcPr>
          <w:p w14:paraId="32EB58E8">
            <w:pPr>
              <w:spacing w:line="400" w:lineRule="exact"/>
              <w:jc w:val="center"/>
              <w:textAlignment w:val="center"/>
              <w:rPr>
                <w:rFonts w:eastAsia="方正黑体_GBK" w:cs="黑体"/>
                <w:bCs/>
                <w:kern w:val="0"/>
                <w:sz w:val="18"/>
                <w:szCs w:val="18"/>
              </w:rPr>
            </w:pPr>
            <w:r>
              <w:rPr>
                <w:rFonts w:hint="eastAsia" w:eastAsia="方正黑体_GBK" w:cs="黑体"/>
                <w:bCs/>
                <w:kern w:val="0"/>
                <w:sz w:val="18"/>
                <w:szCs w:val="18"/>
              </w:rPr>
              <w:t>责任依据</w:t>
            </w:r>
          </w:p>
        </w:tc>
      </w:tr>
      <w:tr w14:paraId="7AA6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62" w:type="dxa"/>
            <w:vAlign w:val="center"/>
          </w:tcPr>
          <w:p w14:paraId="54AB539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主体资格</w:t>
            </w:r>
          </w:p>
        </w:tc>
        <w:tc>
          <w:tcPr>
            <w:tcW w:w="742" w:type="dxa"/>
            <w:vAlign w:val="center"/>
          </w:tcPr>
          <w:p w14:paraId="78408DE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1</w:t>
            </w:r>
          </w:p>
        </w:tc>
        <w:tc>
          <w:tcPr>
            <w:tcW w:w="8525" w:type="dxa"/>
            <w:vAlign w:val="center"/>
          </w:tcPr>
          <w:p w14:paraId="3CB5E98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是依法设立的企业或者其他组织，应当依法办理市场主体登记。</w:t>
            </w:r>
          </w:p>
        </w:tc>
        <w:tc>
          <w:tcPr>
            <w:tcW w:w="5522" w:type="dxa"/>
            <w:vAlign w:val="center"/>
          </w:tcPr>
          <w:p w14:paraId="3FEC90C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《中华人民共和国市场主体登记管理条例》第三条、第三十六条；《化妆品注册备案管理办法》第二十八条。</w:t>
            </w:r>
          </w:p>
        </w:tc>
      </w:tr>
      <w:tr w14:paraId="1237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762" w:type="dxa"/>
            <w:vAlign w:val="center"/>
          </w:tcPr>
          <w:p w14:paraId="08887FC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质量责任</w:t>
            </w:r>
          </w:p>
        </w:tc>
        <w:tc>
          <w:tcPr>
            <w:tcW w:w="742" w:type="dxa"/>
            <w:vAlign w:val="center"/>
          </w:tcPr>
          <w:p w14:paraId="2FA7118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2</w:t>
            </w:r>
          </w:p>
        </w:tc>
        <w:tc>
          <w:tcPr>
            <w:tcW w:w="8525" w:type="dxa"/>
            <w:vAlign w:val="center"/>
          </w:tcPr>
          <w:p w14:paraId="0875DD8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化妆品注册人、备案人</w:t>
            </w:r>
            <w:r>
              <w:rPr>
                <w:rFonts w:hint="eastAsia" w:ascii="方正仿宋_GBK" w:hAnsi="方正仿宋_GBK" w:eastAsia="方正仿宋_GBK" w:cs="方正仿宋_GBK"/>
                <w:bCs/>
                <w:kern w:val="0"/>
                <w:sz w:val="18"/>
                <w:szCs w:val="18"/>
              </w:rPr>
              <w:t>对化妆品的质量安全和功效宣称负责，对其注册或者备案的化妆品从研发、生产、经营全过程质量安全进行管理。</w:t>
            </w:r>
            <w:r>
              <w:rPr>
                <w:rFonts w:hint="eastAsia" w:ascii="方正仿宋_GBK" w:hAnsi="方正仿宋_GBK" w:eastAsia="方正仿宋_GBK" w:cs="方正仿宋_GBK"/>
                <w:bCs/>
                <w:kern w:val="0"/>
                <w:sz w:val="18"/>
                <w:szCs w:val="18"/>
                <w:lang w:bidi="ar"/>
              </w:rPr>
              <w:t>应当依照法律、法规、强制性国家标准、技术规范从事生产经营活动，加强管理，诚信自律，保证化妆品质量安全。</w:t>
            </w:r>
            <w:r>
              <w:rPr>
                <w:rFonts w:hint="eastAsia" w:ascii="方正仿宋_GBK" w:hAnsi="方正仿宋_GBK" w:eastAsia="方正仿宋_GBK" w:cs="方正仿宋_GBK"/>
                <w:sz w:val="18"/>
                <w:szCs w:val="18"/>
              </w:rPr>
              <w:t>应当采取措施避免产品性状、外观形态等与食品、药品等产品相混淆，防止误食、误用。</w:t>
            </w:r>
          </w:p>
        </w:tc>
        <w:tc>
          <w:tcPr>
            <w:tcW w:w="5522" w:type="dxa"/>
            <w:vAlign w:val="center"/>
          </w:tcPr>
          <w:p w14:paraId="7581FF2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pacing w:val="-6"/>
                <w:kern w:val="0"/>
                <w:sz w:val="18"/>
                <w:szCs w:val="18"/>
              </w:rPr>
            </w:pPr>
            <w:r>
              <w:rPr>
                <w:rFonts w:hint="eastAsia" w:ascii="方正仿宋_GBK" w:hAnsi="方正仿宋_GBK" w:eastAsia="方正仿宋_GBK" w:cs="方正仿宋_GBK"/>
                <w:bCs/>
                <w:kern w:val="0"/>
                <w:sz w:val="18"/>
                <w:szCs w:val="18"/>
                <w:lang w:bidi="ar"/>
              </w:rPr>
              <w:t>《化妆品监督管理条例》第六条；《化妆品生产经营监督管理办法》</w:t>
            </w:r>
            <w:r>
              <w:rPr>
                <w:rFonts w:hint="eastAsia" w:ascii="方正仿宋_GBK" w:hAnsi="方正仿宋_GBK" w:eastAsia="方正仿宋_GBK" w:cs="方正仿宋_GBK"/>
                <w:sz w:val="18"/>
                <w:szCs w:val="18"/>
              </w:rPr>
              <w:t>第四条、第三十八条；</w:t>
            </w:r>
            <w:r>
              <w:rPr>
                <w:rFonts w:hint="eastAsia" w:ascii="方正仿宋_GBK" w:hAnsi="方正仿宋_GBK" w:eastAsia="方正仿宋_GBK" w:cs="方正仿宋_GBK"/>
                <w:bCs/>
                <w:kern w:val="0"/>
                <w:sz w:val="18"/>
                <w:szCs w:val="18"/>
              </w:rPr>
              <w:t>《企业落实化妆品质量安全主体责任监督管理规定》第三条。</w:t>
            </w:r>
          </w:p>
        </w:tc>
      </w:tr>
      <w:tr w14:paraId="1065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62" w:type="dxa"/>
            <w:vAlign w:val="center"/>
          </w:tcPr>
          <w:p w14:paraId="1616C71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配合责任</w:t>
            </w:r>
          </w:p>
        </w:tc>
        <w:tc>
          <w:tcPr>
            <w:tcW w:w="742" w:type="dxa"/>
            <w:vAlign w:val="center"/>
          </w:tcPr>
          <w:p w14:paraId="05DC2B7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3</w:t>
            </w:r>
          </w:p>
        </w:tc>
        <w:tc>
          <w:tcPr>
            <w:tcW w:w="8525" w:type="dxa"/>
            <w:vAlign w:val="center"/>
          </w:tcPr>
          <w:p w14:paraId="1472F8A9">
            <w:pPr>
              <w:pStyle w:val="3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化妆品注册人、备案人对负责药品监督管理的部门的监督检查应当予以配合，不得隐瞒有关情况。</w:t>
            </w:r>
          </w:p>
        </w:tc>
        <w:tc>
          <w:tcPr>
            <w:tcW w:w="5522" w:type="dxa"/>
            <w:vAlign w:val="center"/>
          </w:tcPr>
          <w:p w14:paraId="37C74EA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第四十七条。</w:t>
            </w:r>
          </w:p>
        </w:tc>
      </w:tr>
      <w:tr w14:paraId="5FF6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jc w:val="center"/>
        </w:trPr>
        <w:tc>
          <w:tcPr>
            <w:tcW w:w="762" w:type="dxa"/>
            <w:vMerge w:val="restart"/>
            <w:vAlign w:val="center"/>
          </w:tcPr>
          <w:p w14:paraId="6280CE9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注册备案管理</w:t>
            </w:r>
          </w:p>
        </w:tc>
        <w:tc>
          <w:tcPr>
            <w:tcW w:w="742" w:type="dxa"/>
            <w:vAlign w:val="center"/>
          </w:tcPr>
          <w:p w14:paraId="4B23080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4</w:t>
            </w:r>
          </w:p>
        </w:tc>
        <w:tc>
          <w:tcPr>
            <w:tcW w:w="8525" w:type="dxa"/>
            <w:vAlign w:val="center"/>
          </w:tcPr>
          <w:p w14:paraId="5BE3CECB">
            <w:pPr>
              <w:pStyle w:val="3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用于染发、烫发、祛斑美白、防晒、防脱发的化妆品以及宣称新功效的化妆品为特殊化妆品。化妆品注册人应当向国务院药品监督管理部门申请特殊化妆品注册，经国务院药品监督管理部门注册后方可生产、进口。</w:t>
            </w:r>
          </w:p>
          <w:p w14:paraId="3A892301">
            <w:pPr>
              <w:pStyle w:val="3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特殊化妆品以外的化妆品为普通化妆品。化妆品备案人应当在国产普通化妆品上市销售前向备案人所在地省、自治区、直辖市人民政府药品监督管理部门备案，在进口普通化妆品进口前向国务院药品监督管理部门备案。</w:t>
            </w:r>
          </w:p>
          <w:p w14:paraId="5F915852">
            <w:pPr>
              <w:pStyle w:val="3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普通化妆品不得宣称特殊化妆品相关功效。</w:t>
            </w:r>
          </w:p>
        </w:tc>
        <w:tc>
          <w:tcPr>
            <w:tcW w:w="5522" w:type="dxa"/>
            <w:vAlign w:val="center"/>
          </w:tcPr>
          <w:p w14:paraId="3F25159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第十六条、</w:t>
            </w:r>
            <w:r>
              <w:rPr>
                <w:rFonts w:hint="eastAsia" w:ascii="方正仿宋_GBK" w:hAnsi="方正仿宋_GBK" w:eastAsia="方正仿宋_GBK" w:cs="方正仿宋_GBK"/>
                <w:sz w:val="18"/>
                <w:szCs w:val="18"/>
              </w:rPr>
              <w:t>十七条；</w:t>
            </w: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第三十八条。</w:t>
            </w:r>
          </w:p>
        </w:tc>
      </w:tr>
      <w:tr w14:paraId="7391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62" w:type="dxa"/>
            <w:vMerge w:val="continue"/>
            <w:vAlign w:val="center"/>
          </w:tcPr>
          <w:p w14:paraId="7FD1EAB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42" w:type="dxa"/>
            <w:vAlign w:val="center"/>
          </w:tcPr>
          <w:p w14:paraId="7B39351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5</w:t>
            </w:r>
          </w:p>
        </w:tc>
        <w:tc>
          <w:tcPr>
            <w:tcW w:w="8525" w:type="dxa"/>
            <w:vAlign w:val="center"/>
          </w:tcPr>
          <w:p w14:paraId="433787C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化妆品注册人、备案人应当依照法律、行政法规、强制性国家标准、技术规范和注册备案管理等规定，开展化妆品研制、安全评估、注册备案检验等工作，并按照化妆品注册备案资料规范要求提交注册备案资料。</w:t>
            </w:r>
          </w:p>
        </w:tc>
        <w:tc>
          <w:tcPr>
            <w:tcW w:w="5522" w:type="dxa"/>
            <w:vAlign w:val="center"/>
          </w:tcPr>
          <w:p w14:paraId="35BA9BD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《化妆品注册备案管理办法》</w:t>
            </w:r>
            <w:r>
              <w:rPr>
                <w:rFonts w:hint="eastAsia" w:ascii="方正仿宋_GBK" w:hAnsi="方正仿宋_GBK" w:eastAsia="方正仿宋_GBK" w:cs="方正仿宋_GBK"/>
                <w:sz w:val="18"/>
                <w:szCs w:val="18"/>
              </w:rPr>
              <w:t>第二十九条。</w:t>
            </w:r>
          </w:p>
        </w:tc>
      </w:tr>
      <w:tr w14:paraId="0CA7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762" w:type="dxa"/>
            <w:vMerge w:val="restart"/>
            <w:vAlign w:val="center"/>
          </w:tcPr>
          <w:p w14:paraId="4777DEA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注册备案管理</w:t>
            </w:r>
          </w:p>
        </w:tc>
        <w:tc>
          <w:tcPr>
            <w:tcW w:w="742" w:type="dxa"/>
            <w:vAlign w:val="center"/>
          </w:tcPr>
          <w:p w14:paraId="749E6E9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6</w:t>
            </w:r>
          </w:p>
        </w:tc>
        <w:tc>
          <w:tcPr>
            <w:tcW w:w="8525" w:type="dxa"/>
            <w:vAlign w:val="center"/>
          </w:tcPr>
          <w:p w14:paraId="077E63F8">
            <w:pPr>
              <w:pStyle w:val="37"/>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化妆品注册人、备案人应当选择符合法律、行政法规、强制性国家标准和技术规范要求的原料用于化妆品生产，对其使用的化妆品原料安全性负责。化妆品注册人、备案人申请注册、进行备案时，应当通过信息服务平台明确原料来源和原料安全相关信息。</w:t>
            </w:r>
          </w:p>
        </w:tc>
        <w:tc>
          <w:tcPr>
            <w:tcW w:w="5522" w:type="dxa"/>
            <w:vAlign w:val="center"/>
          </w:tcPr>
          <w:p w14:paraId="5C06BD7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《化妆品注册备案管理办法》</w:t>
            </w:r>
            <w:r>
              <w:rPr>
                <w:rFonts w:hint="eastAsia" w:ascii="方正仿宋_GBK" w:hAnsi="方正仿宋_GBK" w:eastAsia="方正仿宋_GBK" w:cs="方正仿宋_GBK"/>
                <w:sz w:val="18"/>
                <w:szCs w:val="18"/>
              </w:rPr>
              <w:t>第三十条。</w:t>
            </w:r>
          </w:p>
        </w:tc>
      </w:tr>
      <w:tr w14:paraId="4CB8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62" w:type="dxa"/>
            <w:vMerge w:val="continue"/>
            <w:vAlign w:val="center"/>
          </w:tcPr>
          <w:p w14:paraId="4E0B6C9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42" w:type="dxa"/>
            <w:vAlign w:val="center"/>
          </w:tcPr>
          <w:p w14:paraId="072FF4E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7</w:t>
            </w:r>
          </w:p>
        </w:tc>
        <w:tc>
          <w:tcPr>
            <w:tcW w:w="8525" w:type="dxa"/>
            <w:vAlign w:val="center"/>
          </w:tcPr>
          <w:p w14:paraId="0AC234B8">
            <w:pPr>
              <w:pStyle w:val="37"/>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化妆品注册人、备案人委托生产化妆品的，国产化妆品应当在申请注册或者进行备案时，经化妆品生产企业通过信息服务平台关联确认委托生产关系；进口化妆品由化妆品注册人、备案人提交存在委托关系的相关材料。</w:t>
            </w:r>
          </w:p>
        </w:tc>
        <w:tc>
          <w:tcPr>
            <w:tcW w:w="5522" w:type="dxa"/>
            <w:vAlign w:val="center"/>
          </w:tcPr>
          <w:p w14:paraId="6B169DD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《化妆品注册备案管理办法》</w:t>
            </w:r>
            <w:r>
              <w:rPr>
                <w:rFonts w:hint="eastAsia" w:ascii="方正仿宋_GBK" w:hAnsi="方正仿宋_GBK" w:eastAsia="方正仿宋_GBK" w:cs="方正仿宋_GBK"/>
                <w:sz w:val="18"/>
                <w:szCs w:val="18"/>
              </w:rPr>
              <w:t>第三十一条。</w:t>
            </w:r>
          </w:p>
        </w:tc>
      </w:tr>
      <w:tr w14:paraId="064B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2" w:type="dxa"/>
            <w:vMerge w:val="continue"/>
            <w:vAlign w:val="center"/>
          </w:tcPr>
          <w:p w14:paraId="2EA3B8E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42" w:type="dxa"/>
            <w:vAlign w:val="center"/>
          </w:tcPr>
          <w:p w14:paraId="4BD4EAA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8</w:t>
            </w:r>
          </w:p>
        </w:tc>
        <w:tc>
          <w:tcPr>
            <w:tcW w:w="8525" w:type="dxa"/>
            <w:vAlign w:val="center"/>
          </w:tcPr>
          <w:p w14:paraId="2994775D">
            <w:pPr>
              <w:pStyle w:val="37"/>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化妆品注册人、备案人应当明确产品执行的标准，并在申请注册或者进行备案时提交药品监督管理部门。</w:t>
            </w:r>
          </w:p>
        </w:tc>
        <w:tc>
          <w:tcPr>
            <w:tcW w:w="5522" w:type="dxa"/>
            <w:vAlign w:val="center"/>
          </w:tcPr>
          <w:p w14:paraId="0AAC553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《化妆品注册备案管理办法》</w:t>
            </w:r>
            <w:r>
              <w:rPr>
                <w:rFonts w:hint="eastAsia" w:ascii="方正仿宋_GBK" w:hAnsi="方正仿宋_GBK" w:eastAsia="方正仿宋_GBK" w:cs="方正仿宋_GBK"/>
                <w:sz w:val="18"/>
                <w:szCs w:val="18"/>
              </w:rPr>
              <w:t>第三十二条。</w:t>
            </w:r>
          </w:p>
        </w:tc>
      </w:tr>
      <w:tr w14:paraId="68F8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62" w:type="dxa"/>
            <w:vMerge w:val="continue"/>
            <w:vAlign w:val="center"/>
          </w:tcPr>
          <w:p w14:paraId="487FFF1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42" w:type="dxa"/>
            <w:vAlign w:val="center"/>
          </w:tcPr>
          <w:p w14:paraId="2ABCA44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9</w:t>
            </w:r>
          </w:p>
        </w:tc>
        <w:tc>
          <w:tcPr>
            <w:tcW w:w="8525" w:type="dxa"/>
            <w:vAlign w:val="center"/>
          </w:tcPr>
          <w:p w14:paraId="21F79115">
            <w:pPr>
              <w:pStyle w:val="37"/>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化妆品注册申请人、备案人应当委托取得资质认定、满足化妆品注册和备案检验工作需要的检验机构，按照强制性国家标准、技术规范和注册备案检验规定的要求进行检验。</w:t>
            </w:r>
          </w:p>
        </w:tc>
        <w:tc>
          <w:tcPr>
            <w:tcW w:w="5522" w:type="dxa"/>
            <w:vAlign w:val="center"/>
          </w:tcPr>
          <w:p w14:paraId="10E4DB1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《化妆品注册备案管理办法》</w:t>
            </w:r>
            <w:r>
              <w:rPr>
                <w:rFonts w:hint="eastAsia" w:ascii="方正仿宋_GBK" w:hAnsi="方正仿宋_GBK" w:eastAsia="方正仿宋_GBK" w:cs="方正仿宋_GBK"/>
                <w:sz w:val="18"/>
                <w:szCs w:val="18"/>
              </w:rPr>
              <w:t>第三十三条。</w:t>
            </w:r>
          </w:p>
        </w:tc>
      </w:tr>
      <w:tr w14:paraId="524D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62" w:type="dxa"/>
            <w:vMerge w:val="continue"/>
            <w:vAlign w:val="center"/>
          </w:tcPr>
          <w:p w14:paraId="13A733D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42" w:type="dxa"/>
            <w:vAlign w:val="center"/>
          </w:tcPr>
          <w:p w14:paraId="04A1A7D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10</w:t>
            </w:r>
          </w:p>
        </w:tc>
        <w:tc>
          <w:tcPr>
            <w:tcW w:w="8525" w:type="dxa"/>
            <w:vAlign w:val="center"/>
          </w:tcPr>
          <w:p w14:paraId="35ED8062">
            <w:pPr>
              <w:pStyle w:val="3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化妆品注册人、备案人应当在国务院药品监督管理部门规定的专门网站公布功效宣称所依据的文献资料、研究数据或者产品功效评价资料的摘要，接受社会监督。</w:t>
            </w:r>
          </w:p>
        </w:tc>
        <w:tc>
          <w:tcPr>
            <w:tcW w:w="5522" w:type="dxa"/>
            <w:vAlign w:val="center"/>
          </w:tcPr>
          <w:p w14:paraId="3FFB27D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第二十二条。</w:t>
            </w:r>
          </w:p>
        </w:tc>
      </w:tr>
      <w:tr w14:paraId="5B13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62" w:type="dxa"/>
            <w:vMerge w:val="continue"/>
            <w:vAlign w:val="center"/>
          </w:tcPr>
          <w:p w14:paraId="57983AD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42" w:type="dxa"/>
            <w:vAlign w:val="center"/>
          </w:tcPr>
          <w:p w14:paraId="77DA678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11</w:t>
            </w:r>
          </w:p>
        </w:tc>
        <w:tc>
          <w:tcPr>
            <w:tcW w:w="8525" w:type="dxa"/>
            <w:vAlign w:val="center"/>
          </w:tcPr>
          <w:p w14:paraId="3FF51CBA">
            <w:pPr>
              <w:pStyle w:val="37"/>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已经备案的普通化妆品，无正当理由不得随意改变产品名称；没有充分的科学依据，不得随意改变功效宣称。已经备案的普通化妆品不得随意改变产品配方，但因原料来源改变等原因导致产品配方发生微小变化的情况除外。备案人、境内责任人地址变化导致备案管理部门改变的，备案人应当重新进行备案。</w:t>
            </w:r>
          </w:p>
        </w:tc>
        <w:tc>
          <w:tcPr>
            <w:tcW w:w="5522" w:type="dxa"/>
            <w:vAlign w:val="center"/>
          </w:tcPr>
          <w:p w14:paraId="6E26BF4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《化妆品注册备案管理办法》</w:t>
            </w:r>
            <w:r>
              <w:rPr>
                <w:rFonts w:hint="eastAsia" w:ascii="方正仿宋_GBK" w:hAnsi="方正仿宋_GBK" w:eastAsia="方正仿宋_GBK" w:cs="方正仿宋_GBK"/>
                <w:sz w:val="18"/>
                <w:szCs w:val="18"/>
              </w:rPr>
              <w:t>第三十六条。</w:t>
            </w:r>
          </w:p>
        </w:tc>
      </w:tr>
      <w:tr w14:paraId="667F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762" w:type="dxa"/>
            <w:vMerge w:val="restart"/>
            <w:vAlign w:val="center"/>
          </w:tcPr>
          <w:p w14:paraId="7C5B1EB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注册备案管理</w:t>
            </w:r>
          </w:p>
        </w:tc>
        <w:tc>
          <w:tcPr>
            <w:tcW w:w="742" w:type="dxa"/>
            <w:vAlign w:val="center"/>
          </w:tcPr>
          <w:p w14:paraId="6C5A1D0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12</w:t>
            </w:r>
          </w:p>
        </w:tc>
        <w:tc>
          <w:tcPr>
            <w:tcW w:w="8525" w:type="dxa"/>
            <w:vAlign w:val="center"/>
          </w:tcPr>
          <w:p w14:paraId="69C21793">
            <w:pPr>
              <w:pStyle w:val="37"/>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使用化妆品新原料生产化妆品的化妆品注册人、备案人，应当及时向化妆品新原料注册人、备案人反馈化妆品新原料的使用和安全情况。</w:t>
            </w:r>
          </w:p>
          <w:p w14:paraId="532AD552">
            <w:pPr>
              <w:pStyle w:val="37"/>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出现可能与化妆品新原料相关的化妆品不良反应或者安全问题时，化妆品注册人、备案人应当立即采取措施控制风险，通知化妆品新原料注册人、备案人，并按照规定向所在地省、自治区、直辖市药品监督管理部门报告。</w:t>
            </w:r>
          </w:p>
        </w:tc>
        <w:tc>
          <w:tcPr>
            <w:tcW w:w="5522" w:type="dxa"/>
            <w:vAlign w:val="center"/>
          </w:tcPr>
          <w:p w14:paraId="6EC701C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《化妆品注册备案管理办法》</w:t>
            </w:r>
            <w:r>
              <w:rPr>
                <w:rFonts w:hint="eastAsia" w:ascii="方正仿宋_GBK" w:hAnsi="方正仿宋_GBK" w:eastAsia="方正仿宋_GBK" w:cs="方正仿宋_GBK"/>
                <w:sz w:val="18"/>
                <w:szCs w:val="18"/>
              </w:rPr>
              <w:t>第二十三条。</w:t>
            </w:r>
          </w:p>
        </w:tc>
      </w:tr>
      <w:tr w14:paraId="446B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762" w:type="dxa"/>
            <w:vMerge w:val="continue"/>
            <w:vAlign w:val="center"/>
          </w:tcPr>
          <w:p w14:paraId="727CD7B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42" w:type="dxa"/>
            <w:vAlign w:val="center"/>
          </w:tcPr>
          <w:p w14:paraId="3616D5C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13</w:t>
            </w:r>
          </w:p>
        </w:tc>
        <w:tc>
          <w:tcPr>
            <w:tcW w:w="8525" w:type="dxa"/>
            <w:vAlign w:val="center"/>
          </w:tcPr>
          <w:p w14:paraId="388D6828">
            <w:pPr>
              <w:pStyle w:val="37"/>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普通化妆品的备案人应当每年向承担备案管理工作的药品监督管理部门报告生产、进口情况，以及符合法律法规、强制性国家标准、技术规范的情况。</w:t>
            </w:r>
          </w:p>
          <w:p w14:paraId="06DEE6B6">
            <w:pPr>
              <w:pStyle w:val="37"/>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已经备案的产品不再生产或者进口的，备案人应当及时报告承担备案管理工作的药品监督管理部门取消备案。</w:t>
            </w:r>
          </w:p>
        </w:tc>
        <w:tc>
          <w:tcPr>
            <w:tcW w:w="5522" w:type="dxa"/>
            <w:vAlign w:val="center"/>
          </w:tcPr>
          <w:p w14:paraId="7C0D063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《化妆品注册备案管理办法》</w:t>
            </w:r>
            <w:r>
              <w:rPr>
                <w:rFonts w:hint="eastAsia" w:ascii="方正仿宋_GBK" w:hAnsi="方正仿宋_GBK" w:eastAsia="方正仿宋_GBK" w:cs="方正仿宋_GBK"/>
                <w:sz w:val="18"/>
                <w:szCs w:val="18"/>
              </w:rPr>
              <w:t>第三十七条。</w:t>
            </w:r>
          </w:p>
        </w:tc>
      </w:tr>
      <w:tr w14:paraId="1F2E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762" w:type="dxa"/>
            <w:vMerge w:val="continue"/>
            <w:vAlign w:val="center"/>
          </w:tcPr>
          <w:p w14:paraId="08083A9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42" w:type="dxa"/>
            <w:vAlign w:val="center"/>
          </w:tcPr>
          <w:p w14:paraId="6894F94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14</w:t>
            </w:r>
          </w:p>
        </w:tc>
        <w:tc>
          <w:tcPr>
            <w:tcW w:w="8525" w:type="dxa"/>
            <w:vAlign w:val="center"/>
          </w:tcPr>
          <w:p w14:paraId="65B64C65">
            <w:pPr>
              <w:pStyle w:val="37"/>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特殊化妆品注册证有效期届满需要延续的，注册人应当在产品注册证有效期届满前90个工作日至30个工作日期间提出延续注册申请，并承诺符合强制性国家标准、技术规范的要求。注册人应当对提交资料和作出承诺的真实性、合法性负责。逾期未提出延续注册申请的，不再受理其延续注册申请。</w:t>
            </w:r>
          </w:p>
        </w:tc>
        <w:tc>
          <w:tcPr>
            <w:tcW w:w="5522" w:type="dxa"/>
            <w:vAlign w:val="center"/>
          </w:tcPr>
          <w:p w14:paraId="6D028E9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《化妆品注册备案管理办法》</w:t>
            </w:r>
            <w:r>
              <w:rPr>
                <w:rFonts w:hint="eastAsia" w:ascii="方正仿宋_GBK" w:hAnsi="方正仿宋_GBK" w:eastAsia="方正仿宋_GBK" w:cs="方正仿宋_GBK"/>
                <w:sz w:val="18"/>
                <w:szCs w:val="18"/>
              </w:rPr>
              <w:t>第四十三条。</w:t>
            </w:r>
          </w:p>
        </w:tc>
      </w:tr>
      <w:tr w14:paraId="1407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62" w:type="dxa"/>
            <w:vMerge w:val="continue"/>
            <w:vAlign w:val="center"/>
          </w:tcPr>
          <w:p w14:paraId="3B3F853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42" w:type="dxa"/>
            <w:vAlign w:val="center"/>
          </w:tcPr>
          <w:p w14:paraId="5C4C269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15</w:t>
            </w:r>
          </w:p>
        </w:tc>
        <w:tc>
          <w:tcPr>
            <w:tcW w:w="8525" w:type="dxa"/>
            <w:vAlign w:val="center"/>
          </w:tcPr>
          <w:p w14:paraId="0621844B">
            <w:pPr>
              <w:pStyle w:val="37"/>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特殊化妆品取得注册证后，注册人应当在产品投放市场前，将上市销售的产品标签图片上传至信息服务平台，供社会公众查询。</w:t>
            </w:r>
          </w:p>
        </w:tc>
        <w:tc>
          <w:tcPr>
            <w:tcW w:w="5522" w:type="dxa"/>
            <w:vAlign w:val="center"/>
          </w:tcPr>
          <w:p w14:paraId="7D0098C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《化妆品注册备案管理办法》</w:t>
            </w:r>
            <w:r>
              <w:rPr>
                <w:rFonts w:hint="eastAsia" w:ascii="方正仿宋_GBK" w:hAnsi="方正仿宋_GBK" w:eastAsia="方正仿宋_GBK" w:cs="方正仿宋_GBK"/>
                <w:sz w:val="18"/>
                <w:szCs w:val="18"/>
              </w:rPr>
              <w:t>第四十八条。</w:t>
            </w:r>
          </w:p>
        </w:tc>
      </w:tr>
      <w:tr w14:paraId="4A70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62" w:type="dxa"/>
            <w:vMerge w:val="continue"/>
            <w:vAlign w:val="center"/>
          </w:tcPr>
          <w:p w14:paraId="035DFC8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42" w:type="dxa"/>
            <w:vAlign w:val="center"/>
          </w:tcPr>
          <w:p w14:paraId="3A788C9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16</w:t>
            </w:r>
          </w:p>
        </w:tc>
        <w:tc>
          <w:tcPr>
            <w:tcW w:w="8525" w:type="dxa"/>
            <w:vAlign w:val="center"/>
          </w:tcPr>
          <w:p w14:paraId="0020E4FC">
            <w:pPr>
              <w:pStyle w:val="3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境外化妆品注册人、备案人应当指定我国境内的企业法人办理化妆品注册、备案，协助开展化妆品不良反应监测、实施产品召回。</w:t>
            </w:r>
          </w:p>
        </w:tc>
        <w:tc>
          <w:tcPr>
            <w:tcW w:w="5522" w:type="dxa"/>
            <w:vAlign w:val="center"/>
          </w:tcPr>
          <w:p w14:paraId="7E13BF6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第二十三条。</w:t>
            </w:r>
          </w:p>
        </w:tc>
      </w:tr>
      <w:tr w14:paraId="7B80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762" w:type="dxa"/>
            <w:vAlign w:val="center"/>
          </w:tcPr>
          <w:p w14:paraId="0476F71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注册备案管理</w:t>
            </w:r>
          </w:p>
        </w:tc>
        <w:tc>
          <w:tcPr>
            <w:tcW w:w="742" w:type="dxa"/>
            <w:vAlign w:val="center"/>
          </w:tcPr>
          <w:p w14:paraId="1CAA57D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17</w:t>
            </w:r>
          </w:p>
        </w:tc>
        <w:tc>
          <w:tcPr>
            <w:tcW w:w="8525" w:type="dxa"/>
            <w:vAlign w:val="center"/>
          </w:tcPr>
          <w:p w14:paraId="18BCD832">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化妆品注册人、备案人应当建立化妆品注册备案资料审核制度。在产品注册或者备案（含首次申请注册或者提交备案、注册备案变更、注册延续）前，质量安全负责人应当对产品名称、产品配方、产品执行的标准、产品标签、产品检验报告、产品安全评估等注册或者备案资料以及功效宣称评价资料的合法性、真实性、科学性、完整性等进行审核；发现问题的，应当立即组织整改，在整改完成前不得提交产品注册申请或者进行备案。</w:t>
            </w:r>
          </w:p>
          <w:p w14:paraId="030C06F5">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普通化妆品在提交化妆品年度报告前，质量安全负责人应当组织对年度报告内容的真实性、准确性等进行审核；发现问题的，应当立即组织整改。</w:t>
            </w:r>
          </w:p>
        </w:tc>
        <w:tc>
          <w:tcPr>
            <w:tcW w:w="5522" w:type="dxa"/>
            <w:vAlign w:val="center"/>
          </w:tcPr>
          <w:p w14:paraId="2F7B7EC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rPr>
              <w:t>《企业落实化妆品质量安全主体责任监督管理规定》</w:t>
            </w:r>
            <w:r>
              <w:rPr>
                <w:rFonts w:hint="eastAsia" w:ascii="方正仿宋_GBK" w:hAnsi="方正仿宋_GBK" w:eastAsia="方正仿宋_GBK" w:cs="方正仿宋_GBK"/>
                <w:sz w:val="18"/>
                <w:szCs w:val="18"/>
              </w:rPr>
              <w:t>第十六条</w:t>
            </w:r>
            <w:r>
              <w:rPr>
                <w:rFonts w:hint="eastAsia" w:ascii="方正仿宋_GBK" w:hAnsi="方正仿宋_GBK" w:eastAsia="方正仿宋_GBK" w:cs="方正仿宋_GBK"/>
                <w:sz w:val="18"/>
                <w:szCs w:val="18"/>
                <w:lang w:val="en"/>
              </w:rPr>
              <w:t>。</w:t>
            </w:r>
          </w:p>
        </w:tc>
      </w:tr>
      <w:tr w14:paraId="6BFE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62" w:type="dxa"/>
            <w:vMerge w:val="restart"/>
            <w:vAlign w:val="center"/>
          </w:tcPr>
          <w:p w14:paraId="7E4C303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许可管理</w:t>
            </w:r>
          </w:p>
        </w:tc>
        <w:tc>
          <w:tcPr>
            <w:tcW w:w="742" w:type="dxa"/>
            <w:vAlign w:val="center"/>
          </w:tcPr>
          <w:p w14:paraId="1DACB27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18</w:t>
            </w:r>
          </w:p>
        </w:tc>
        <w:tc>
          <w:tcPr>
            <w:tcW w:w="8525" w:type="dxa"/>
            <w:vAlign w:val="center"/>
          </w:tcPr>
          <w:p w14:paraId="6EA38B3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国家对化妆品生产实行许可管理。从事化妆品生产活动，应当依法取得化妆品生产许可证，</w:t>
            </w:r>
            <w:r>
              <w:rPr>
                <w:rFonts w:hint="eastAsia" w:ascii="方正仿宋_GBK" w:hAnsi="方正仿宋_GBK" w:eastAsia="方正仿宋_GBK" w:cs="方正仿宋_GBK"/>
                <w:kern w:val="0"/>
                <w:sz w:val="18"/>
                <w:szCs w:val="18"/>
              </w:rPr>
              <w:t>向所在地省、自治区、直辖市人民政府药品监督管理部门提出申请，提交其符合规定条件的证明资料，并对资料的真实性负责。</w:t>
            </w:r>
          </w:p>
        </w:tc>
        <w:tc>
          <w:tcPr>
            <w:tcW w:w="5522" w:type="dxa"/>
            <w:vAlign w:val="center"/>
          </w:tcPr>
          <w:p w14:paraId="56C47DB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第二十七条；</w:t>
            </w: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第五条、第十条。</w:t>
            </w:r>
          </w:p>
        </w:tc>
      </w:tr>
      <w:tr w14:paraId="652B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vMerge w:val="continue"/>
            <w:vAlign w:val="center"/>
          </w:tcPr>
          <w:p w14:paraId="5B0BC68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64F52E2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19</w:t>
            </w:r>
          </w:p>
        </w:tc>
        <w:tc>
          <w:tcPr>
            <w:tcW w:w="8525" w:type="dxa"/>
            <w:vAlign w:val="center"/>
          </w:tcPr>
          <w:p w14:paraId="5AA44C0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申请化妆品生产许可，应当符合下列条件：是依法设立的企业；有与生产的化妆品品种、数量和生产许可项目等相适应的生产场地，且与有毒、有害场所以及其他污染源保持规定的距离；有与生产的化妆品品种、数量和生产许可项目等相适应的生产设施设备且布局合理，空气净化、水处理等设施设备符合规定要求；有与生产的化妆品品种、数量和生产许可项目等相适应的技术人员；有与生产的化妆品品种、数量相适应，能对生产的化妆品进行检验的检验人员和检验设备；有保证化妆品质量安全的管理制度。</w:t>
            </w:r>
          </w:p>
        </w:tc>
        <w:tc>
          <w:tcPr>
            <w:tcW w:w="5522" w:type="dxa"/>
            <w:vAlign w:val="center"/>
          </w:tcPr>
          <w:p w14:paraId="3317E2B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第二十六条；</w:t>
            </w: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第九条。</w:t>
            </w:r>
          </w:p>
        </w:tc>
      </w:tr>
      <w:tr w14:paraId="31D6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62" w:type="dxa"/>
            <w:vMerge w:val="continue"/>
            <w:vAlign w:val="center"/>
          </w:tcPr>
          <w:p w14:paraId="3F9EB81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6BECC4E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20</w:t>
            </w:r>
          </w:p>
        </w:tc>
        <w:tc>
          <w:tcPr>
            <w:tcW w:w="8525" w:type="dxa"/>
            <w:vAlign w:val="center"/>
          </w:tcPr>
          <w:p w14:paraId="1E14029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化妆品生产许可证有效期内，化妆品生产企业的许可条件发生变化，或者需要变更许可证载明事项的，应当向原发证的药品监督管理部门申请变更。</w:t>
            </w:r>
          </w:p>
        </w:tc>
        <w:tc>
          <w:tcPr>
            <w:tcW w:w="5522" w:type="dxa"/>
            <w:vAlign w:val="center"/>
          </w:tcPr>
          <w:p w14:paraId="50CF1F2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第十七条。</w:t>
            </w:r>
          </w:p>
        </w:tc>
      </w:tr>
      <w:tr w14:paraId="6D3B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62" w:type="dxa"/>
            <w:vMerge w:val="restart"/>
            <w:vAlign w:val="center"/>
          </w:tcPr>
          <w:p w14:paraId="5C3C615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rPr>
              <w:t>许可管理</w:t>
            </w:r>
          </w:p>
        </w:tc>
        <w:tc>
          <w:tcPr>
            <w:tcW w:w="742" w:type="dxa"/>
            <w:vAlign w:val="center"/>
          </w:tcPr>
          <w:p w14:paraId="0FF401C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21</w:t>
            </w:r>
          </w:p>
        </w:tc>
        <w:tc>
          <w:tcPr>
            <w:tcW w:w="8525" w:type="dxa"/>
            <w:vAlign w:val="center"/>
          </w:tcPr>
          <w:p w14:paraId="5C5B74A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生产许可项目发生变化，可能影响产品质量安全的生产设施设备发生变化，或者在化妆品生产场地原址新建、改建、扩建车间的，化妆品生产企业应当在投入生产前向原发证的药品监督管理部门申请变更，并依照本规定提交与变更有关的资料。</w:t>
            </w:r>
          </w:p>
        </w:tc>
        <w:tc>
          <w:tcPr>
            <w:tcW w:w="5522" w:type="dxa"/>
            <w:vAlign w:val="center"/>
          </w:tcPr>
          <w:p w14:paraId="6B37F3D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第十八条。</w:t>
            </w:r>
          </w:p>
        </w:tc>
      </w:tr>
      <w:tr w14:paraId="62EF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762" w:type="dxa"/>
            <w:vMerge w:val="continue"/>
            <w:vAlign w:val="center"/>
          </w:tcPr>
          <w:p w14:paraId="2E9FA6F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50626F5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22</w:t>
            </w:r>
          </w:p>
        </w:tc>
        <w:tc>
          <w:tcPr>
            <w:tcW w:w="8525" w:type="dxa"/>
            <w:vAlign w:val="center"/>
          </w:tcPr>
          <w:p w14:paraId="16D27A5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生产企业名称、住所、法定代表人或者负责人等发生变化的，化妆品生产企业应当自发生变化之日起30个工作日内向原发证的药品监督管理部门申请变更，并提交与变更有关的资料。</w:t>
            </w:r>
          </w:p>
          <w:p w14:paraId="0C6CD51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质量安全负责人、预留的联系方式等发生变化的，化妆品生产企业应当在变化后10个工作日内向原发证的药品监督管理部门报告。</w:t>
            </w:r>
          </w:p>
        </w:tc>
        <w:tc>
          <w:tcPr>
            <w:tcW w:w="5522" w:type="dxa"/>
            <w:vAlign w:val="center"/>
          </w:tcPr>
          <w:p w14:paraId="5400E37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第十九条。</w:t>
            </w:r>
          </w:p>
        </w:tc>
      </w:tr>
      <w:tr w14:paraId="12D1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62" w:type="dxa"/>
            <w:vMerge w:val="continue"/>
            <w:vAlign w:val="center"/>
          </w:tcPr>
          <w:p w14:paraId="2B3A64A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67673B5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23</w:t>
            </w:r>
          </w:p>
        </w:tc>
        <w:tc>
          <w:tcPr>
            <w:tcW w:w="8525" w:type="dxa"/>
            <w:vAlign w:val="center"/>
          </w:tcPr>
          <w:p w14:paraId="542C928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化妆品生产许可证有效期届满需要延续的，化妆品生产企业应当在生产许可证有效期届满前90个工作日至30个工作日期间向所在地省、自治区、直辖市药品监督管理部门提出延续许可申请，并承诺其符合本办法规定的化妆品生产许可条件。申请人应当对提交资料和作出承诺的真实性、合法性负责。</w:t>
            </w:r>
          </w:p>
        </w:tc>
        <w:tc>
          <w:tcPr>
            <w:tcW w:w="5522" w:type="dxa"/>
            <w:vAlign w:val="center"/>
          </w:tcPr>
          <w:p w14:paraId="726DB46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第二十条。</w:t>
            </w:r>
          </w:p>
        </w:tc>
      </w:tr>
      <w:tr w14:paraId="2DA5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vMerge w:val="continue"/>
            <w:vAlign w:val="center"/>
          </w:tcPr>
          <w:p w14:paraId="2547EB4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C8F0A5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24</w:t>
            </w:r>
          </w:p>
        </w:tc>
        <w:tc>
          <w:tcPr>
            <w:tcW w:w="8525" w:type="dxa"/>
            <w:vAlign w:val="center"/>
          </w:tcPr>
          <w:p w14:paraId="4DE644A8">
            <w:pPr>
              <w:pStyle w:val="3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不得伪造、变造、出租、出借或者转让化妆品许可证件。</w:t>
            </w:r>
          </w:p>
        </w:tc>
        <w:tc>
          <w:tcPr>
            <w:tcW w:w="5522" w:type="dxa"/>
            <w:vAlign w:val="center"/>
          </w:tcPr>
          <w:p w14:paraId="7531416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第六十四条。</w:t>
            </w:r>
          </w:p>
        </w:tc>
      </w:tr>
      <w:tr w14:paraId="5E5E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762" w:type="dxa"/>
            <w:vAlign w:val="center"/>
          </w:tcPr>
          <w:p w14:paraId="402CDA2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rPr>
              <w:t>建立生产质量管理体系</w:t>
            </w:r>
          </w:p>
        </w:tc>
        <w:tc>
          <w:tcPr>
            <w:tcW w:w="742" w:type="dxa"/>
            <w:vAlign w:val="center"/>
          </w:tcPr>
          <w:p w14:paraId="6BA757F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25</w:t>
            </w:r>
          </w:p>
        </w:tc>
        <w:tc>
          <w:tcPr>
            <w:tcW w:w="8525" w:type="dxa"/>
            <w:vAlign w:val="center"/>
          </w:tcPr>
          <w:p w14:paraId="22C83C9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化妆品注册人、备案人、受托生产企业应当诚信自律，按照《化妆品生产质量管理规范》的要求建立生产质量管理体系，实现对化妆品物料采购、生产、检验、贮存、销售和召回等全过程的控制和追溯，确保持续稳定地生产出符合质量安全要求的化妆品。</w:t>
            </w:r>
          </w:p>
          <w:p w14:paraId="41CC040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应当建立基于化妆品质量安全风险防控的动态管理机制，结合企业实际，建立并执行化妆品注册备案资料审核、生产一致性审核、产品逐批放行、有因启动自查、质量管理体系自查等工作制度和机制。</w:t>
            </w:r>
          </w:p>
        </w:tc>
        <w:tc>
          <w:tcPr>
            <w:tcW w:w="5522" w:type="dxa"/>
            <w:vAlign w:val="center"/>
          </w:tcPr>
          <w:p w14:paraId="65D7DE8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第二十九条；</w:t>
            </w: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第四条、第六条</w:t>
            </w:r>
            <w:r>
              <w:rPr>
                <w:rFonts w:hint="eastAsia" w:ascii="方正仿宋_GBK" w:hAnsi="方正仿宋_GBK" w:eastAsia="方正仿宋_GBK" w:cs="方正仿宋_GBK"/>
                <w:bCs/>
                <w:kern w:val="0"/>
                <w:sz w:val="18"/>
                <w:szCs w:val="18"/>
                <w:lang w:bidi="ar"/>
              </w:rPr>
              <w:t>、</w:t>
            </w:r>
            <w:r>
              <w:rPr>
                <w:rFonts w:hint="eastAsia" w:ascii="方正仿宋_GBK" w:hAnsi="方正仿宋_GBK" w:eastAsia="方正仿宋_GBK" w:cs="方正仿宋_GBK"/>
                <w:sz w:val="18"/>
                <w:szCs w:val="18"/>
              </w:rPr>
              <w:t>第二十五条；</w:t>
            </w:r>
            <w:r>
              <w:rPr>
                <w:rFonts w:hint="eastAsia" w:ascii="方正仿宋_GBK" w:hAnsi="方正仿宋_GBK" w:eastAsia="方正仿宋_GBK" w:cs="方正仿宋_GBK"/>
                <w:bCs/>
                <w:sz w:val="18"/>
                <w:szCs w:val="18"/>
              </w:rPr>
              <w:t>《化妆品生产质量管理规范》第三条；</w:t>
            </w:r>
            <w:r>
              <w:rPr>
                <w:rFonts w:hint="eastAsia" w:ascii="方正仿宋_GBK" w:hAnsi="方正仿宋_GBK" w:eastAsia="方正仿宋_GBK" w:cs="方正仿宋_GBK"/>
                <w:bCs/>
                <w:kern w:val="0"/>
                <w:sz w:val="18"/>
                <w:szCs w:val="18"/>
              </w:rPr>
              <w:t>《企业落实化妆品质量安全主体责任监督管理规定》第十五条</w:t>
            </w:r>
            <w:r>
              <w:rPr>
                <w:rFonts w:hint="eastAsia" w:ascii="方正仿宋_GBK" w:hAnsi="方正仿宋_GBK" w:eastAsia="方正仿宋_GBK" w:cs="方正仿宋_GBK"/>
                <w:bCs/>
                <w:sz w:val="18"/>
                <w:szCs w:val="18"/>
                <w:lang w:val="en"/>
              </w:rPr>
              <w:t>。</w:t>
            </w:r>
          </w:p>
        </w:tc>
      </w:tr>
      <w:tr w14:paraId="3135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62" w:type="dxa"/>
            <w:vMerge w:val="restart"/>
            <w:vAlign w:val="center"/>
          </w:tcPr>
          <w:p w14:paraId="151F3FA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机构与人员</w:t>
            </w:r>
          </w:p>
        </w:tc>
        <w:tc>
          <w:tcPr>
            <w:tcW w:w="742" w:type="dxa"/>
            <w:vAlign w:val="center"/>
          </w:tcPr>
          <w:p w14:paraId="616FEF4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26</w:t>
            </w:r>
          </w:p>
        </w:tc>
        <w:tc>
          <w:tcPr>
            <w:tcW w:w="8525" w:type="dxa"/>
            <w:vAlign w:val="center"/>
          </w:tcPr>
          <w:p w14:paraId="25E4CB0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bCs/>
                <w:sz w:val="18"/>
                <w:szCs w:val="18"/>
              </w:rPr>
              <w:t>化妆品注册人、备案人、受托生产企业（以下统称“企业”）应当建立与生产的化妆品品种、数量和生产许可项目等相适应的组织机构，明确质量管理、生产等部门的职责和权限，配备与生产的化妆品品种、数量和生产许可项目等相适应的技术人员和检验人员。企业的质量管理部门应当独立设置，履行质量保证和控制职责，参与所有与质量管理有关的活动。</w:t>
            </w:r>
          </w:p>
        </w:tc>
        <w:tc>
          <w:tcPr>
            <w:tcW w:w="5522" w:type="dxa"/>
            <w:vAlign w:val="center"/>
          </w:tcPr>
          <w:p w14:paraId="059DAF9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bCs/>
                <w:sz w:val="18"/>
                <w:szCs w:val="18"/>
              </w:rPr>
              <w:t>《化妆品生产质量管理规范》第四条。</w:t>
            </w:r>
          </w:p>
        </w:tc>
      </w:tr>
      <w:tr w14:paraId="7C5E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762" w:type="dxa"/>
            <w:vMerge w:val="continue"/>
            <w:vAlign w:val="center"/>
          </w:tcPr>
          <w:p w14:paraId="574CC45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0BFA016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27</w:t>
            </w:r>
          </w:p>
        </w:tc>
        <w:tc>
          <w:tcPr>
            <w:tcW w:w="8525" w:type="dxa"/>
            <w:vAlign w:val="center"/>
          </w:tcPr>
          <w:p w14:paraId="6285787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企业应当建立化妆品质量安全责任制，明确企业法定代表人（或者主要负责人，下同）、质量安全负责人、质量管理部门负责人、生产部门负责人以及其他化妆品质量安全相关岗位的职责，各岗位人员应当按照岗位职责要求，逐级履行相应的化妆品质量安全义务，落实化妆品质量安全主体责任。</w:t>
            </w:r>
          </w:p>
        </w:tc>
        <w:tc>
          <w:tcPr>
            <w:tcW w:w="5522" w:type="dxa"/>
            <w:vAlign w:val="center"/>
          </w:tcPr>
          <w:p w14:paraId="3145BFA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第二十七条；</w:t>
            </w:r>
            <w:r>
              <w:rPr>
                <w:rFonts w:hint="eastAsia" w:ascii="方正仿宋_GBK" w:hAnsi="方正仿宋_GBK" w:eastAsia="方正仿宋_GBK" w:cs="方正仿宋_GBK"/>
                <w:bCs/>
                <w:sz w:val="18"/>
                <w:szCs w:val="18"/>
              </w:rPr>
              <w:t>《化妆品生产质量管理规范》第五条；</w:t>
            </w:r>
            <w:r>
              <w:rPr>
                <w:rFonts w:hint="eastAsia" w:ascii="方正仿宋_GBK" w:hAnsi="方正仿宋_GBK" w:eastAsia="方正仿宋_GBK" w:cs="方正仿宋_GBK"/>
                <w:bCs/>
                <w:kern w:val="0"/>
                <w:sz w:val="18"/>
                <w:szCs w:val="18"/>
              </w:rPr>
              <w:t>《企业落实化妆品质量安全主体责任监督管理规定》第四条</w:t>
            </w:r>
            <w:r>
              <w:rPr>
                <w:rFonts w:hint="eastAsia" w:ascii="方正仿宋_GBK" w:hAnsi="方正仿宋_GBK" w:eastAsia="方正仿宋_GBK" w:cs="方正仿宋_GBK"/>
                <w:bCs/>
                <w:sz w:val="18"/>
                <w:szCs w:val="18"/>
              </w:rPr>
              <w:t>。</w:t>
            </w:r>
          </w:p>
        </w:tc>
      </w:tr>
      <w:tr w14:paraId="141D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Merge w:val="continue"/>
            <w:vAlign w:val="center"/>
          </w:tcPr>
          <w:p w14:paraId="4781987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EC597E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28</w:t>
            </w:r>
          </w:p>
        </w:tc>
        <w:tc>
          <w:tcPr>
            <w:tcW w:w="8525" w:type="dxa"/>
            <w:vAlign w:val="center"/>
          </w:tcPr>
          <w:p w14:paraId="2ADF853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pacing w:val="-10"/>
                <w:kern w:val="0"/>
                <w:sz w:val="18"/>
                <w:szCs w:val="18"/>
              </w:rPr>
            </w:pPr>
            <w:r>
              <w:rPr>
                <w:rFonts w:hint="eastAsia" w:ascii="方正仿宋_GBK" w:hAnsi="方正仿宋_GBK" w:eastAsia="方正仿宋_GBK" w:cs="方正仿宋_GBK"/>
                <w:bCs/>
                <w:sz w:val="18"/>
                <w:szCs w:val="18"/>
              </w:rPr>
              <w:t>法定代表人对化妆品质量安全工作全面负责，应当负责提供必要的资源，合理制定并组织实施质量方针，确保实现质量目标。</w:t>
            </w:r>
          </w:p>
        </w:tc>
        <w:tc>
          <w:tcPr>
            <w:tcW w:w="5522" w:type="dxa"/>
            <w:vAlign w:val="center"/>
          </w:tcPr>
          <w:p w14:paraId="4F957AE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第二十七条；</w:t>
            </w:r>
            <w:r>
              <w:rPr>
                <w:rFonts w:hint="eastAsia" w:ascii="方正仿宋_GBK" w:hAnsi="方正仿宋_GBK" w:eastAsia="方正仿宋_GBK" w:cs="方正仿宋_GBK"/>
                <w:bCs/>
                <w:sz w:val="18"/>
                <w:szCs w:val="18"/>
              </w:rPr>
              <w:t>《化妆品生产质量管理规范》第六条。</w:t>
            </w:r>
          </w:p>
        </w:tc>
      </w:tr>
      <w:tr w14:paraId="79FA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762" w:type="dxa"/>
            <w:vMerge w:val="continue"/>
            <w:vAlign w:val="center"/>
          </w:tcPr>
          <w:p w14:paraId="4785914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5CCE9C6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29</w:t>
            </w:r>
          </w:p>
        </w:tc>
        <w:tc>
          <w:tcPr>
            <w:tcW w:w="8525" w:type="dxa"/>
            <w:vAlign w:val="center"/>
          </w:tcPr>
          <w:p w14:paraId="1D686E1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设质量安全负责人，质量安全负责人应当具备化妆品、化学、化工、生物、医学、药学、食品、公共卫生或者法学等化妆品质量安全相关专业知识，熟悉相关法律法规、强制性国家标准、技术规范，并具有5年以上化妆品生产或者质量管理经验。</w:t>
            </w:r>
          </w:p>
          <w:p w14:paraId="40659B7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质量安全负责人应当协助法定代表人承担相应的产品质量安全管理和产品放行职责：</w:t>
            </w:r>
          </w:p>
          <w:p w14:paraId="1EBCC0A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（一）建立并组织实施本企业质量管理体系，落实质量安全管理责任，定期向法定代表人报告质量管理体系运行情况；</w:t>
            </w:r>
          </w:p>
          <w:p w14:paraId="17B79B6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（二）产品质量安全问题的决策及有关文件的签发；</w:t>
            </w:r>
          </w:p>
          <w:p w14:paraId="420225A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（三）产品安全评估报告、配方、生产工艺、物料供应商、产品标签等的审核管理，以及化妆品</w:t>
            </w:r>
            <w:r>
              <w:rPr>
                <w:rFonts w:hint="eastAsia" w:ascii="方正仿宋_GBK" w:hAnsi="方正仿宋_GBK" w:eastAsia="方正仿宋_GBK" w:cs="方正仿宋_GBK"/>
                <w:sz w:val="18"/>
                <w:szCs w:val="18"/>
              </w:rPr>
              <w:t>注册、备案资料的审核（受托生产企业除外）；</w:t>
            </w:r>
          </w:p>
          <w:p w14:paraId="503863B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（四）物料放行管理和产品放行；</w:t>
            </w:r>
          </w:p>
          <w:p w14:paraId="25FF049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（五）化妆品不良反应监测管理。</w:t>
            </w:r>
          </w:p>
          <w:p w14:paraId="32194895">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质</w:t>
            </w:r>
            <w:r>
              <w:rPr>
                <w:rFonts w:hint="eastAsia" w:ascii="方正仿宋_GBK" w:hAnsi="方正仿宋_GBK" w:eastAsia="方正仿宋_GBK" w:cs="方正仿宋_GBK"/>
                <w:bCs/>
                <w:spacing w:val="6"/>
                <w:sz w:val="18"/>
                <w:szCs w:val="18"/>
              </w:rPr>
              <w:t>量安全负责人不得兼任生产部门负</w:t>
            </w:r>
            <w:r>
              <w:rPr>
                <w:rFonts w:hint="eastAsia" w:ascii="方正仿宋_GBK" w:hAnsi="方正仿宋_GBK" w:eastAsia="方正仿宋_GBK" w:cs="方正仿宋_GBK"/>
                <w:bCs/>
                <w:sz w:val="18"/>
                <w:szCs w:val="18"/>
              </w:rPr>
              <w:t>责人。</w:t>
            </w:r>
          </w:p>
          <w:p w14:paraId="3DD034D5">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质量安全负责人应当独立履行职责，不受企业其他人员的干扰。根据企业质量管理体系运行需要，经法定代表人书面同意，质量安全负责人可以指定本企业的其他人员协助履行上述职责中除（一）（二）外的其他职责。被指定人员应当具备相应资质和履职能力，且其协助履行上述职责的时间、具体事项等应当如实记录，确保协助履行职责行为可追溯。质量安全负责人应当对协助履行职责情况进行监督，且其应当承担的法律责任并不转移给被指定人员。</w:t>
            </w:r>
          </w:p>
          <w:p w14:paraId="59BB7BC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企业应当建立化妆品生产一致性审核制度。质量安全负责人应当在首次生产前对生产的化妆品产品配方、生产工艺、产品标签等内容进行审核管理，形成化妆品生产一致性审核记录，并定期对相关内容进行回顾性审核，确保生产的产品符合化妆品注册、备案资料载明的技术要求。记录应当包括审核产品名称、特殊化妆品注册证编号或者普通化妆品备案编号、审核内容等。质量安全负责人发现生产的化妆品产品配方、生产工艺、产品标签等内容存在与注册、备案资料载明的技术要求不一致或者其他不符合法律法规要求的，应当立即组织采取风险控制等措施。</w:t>
            </w:r>
          </w:p>
          <w:p w14:paraId="68E00FD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企业应当建立产品逐批放行制度。质量安全负责人应当组织对产品进行逐批审核，确保每批放行产品均检验合格且相关生产和质量活动记录经其审核批准，并形成产品放行记录。记录应当包括产品放行时间，放行产品的名称、批号、数量，以及放行检查内容。质量安全负责人发现产品存在质量安全风险的，不予放行，立即组织采取风险控制等措施，并及时报告法定代表人。</w:t>
            </w:r>
          </w:p>
          <w:p w14:paraId="26BA252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企业应当建立对质量安全负责人的考核制度，定期对质量安全负责人的履职能力和履行职责情况开展考核评估。经考核评估，发现质量安全负责人未按照相关规定履行职责或者履职能力未达到岗位职责要求的，法定代表人应当立即采取督促质量安全负责人改进、更换质量安全负责人等措施，确保质量安全负责人能够依法有效履职。</w:t>
            </w:r>
          </w:p>
          <w:p w14:paraId="3D801370">
            <w:pPr>
              <w:keepNext w:val="0"/>
              <w:keepLines w:val="0"/>
              <w:pageBreakBefore w:val="0"/>
              <w:widowControl w:val="0"/>
              <w:tabs>
                <w:tab w:val="left" w:pos="0"/>
                <w:tab w:val="left" w:pos="420"/>
              </w:tabs>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pacing w:val="-4"/>
                <w:kern w:val="0"/>
                <w:sz w:val="18"/>
                <w:szCs w:val="18"/>
              </w:rPr>
            </w:pPr>
            <w:r>
              <w:rPr>
                <w:rFonts w:hint="eastAsia" w:ascii="方正仿宋_GBK" w:hAnsi="方正仿宋_GBK" w:eastAsia="方正仿宋_GBK" w:cs="方正仿宋_GBK"/>
                <w:spacing w:val="-4"/>
                <w:kern w:val="0"/>
                <w:sz w:val="18"/>
                <w:szCs w:val="18"/>
              </w:rPr>
              <w:t>企业应当为质量安全负责人学习培训提供必要条件，确保质量安全负责人持续更新质量安全管理的专业知识和法律知识，提高履职能力。质量安全负责人每年相关学习培训不少于40学时。</w:t>
            </w:r>
          </w:p>
          <w:p w14:paraId="6CF484AF">
            <w:pPr>
              <w:keepNext w:val="0"/>
              <w:keepLines w:val="0"/>
              <w:pageBreakBefore w:val="0"/>
              <w:widowControl w:val="0"/>
              <w:tabs>
                <w:tab w:val="left" w:pos="0"/>
                <w:tab w:val="left" w:pos="420"/>
              </w:tabs>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kern w:val="0"/>
                <w:sz w:val="18"/>
                <w:szCs w:val="18"/>
              </w:rPr>
              <w:t>企业应当为质量安全负责人提供必要的工作条件和岗位待遇，充分保障其依法履行职责。鼓励企业建立对质量安全负责人的激励机制，对工作成效显著的给予表彰和奖励。</w:t>
            </w:r>
          </w:p>
        </w:tc>
        <w:tc>
          <w:tcPr>
            <w:tcW w:w="5522" w:type="dxa"/>
            <w:vAlign w:val="center"/>
          </w:tcPr>
          <w:p w14:paraId="3A861F45">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第三十二条；</w:t>
            </w: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第二十八条；</w:t>
            </w:r>
            <w:r>
              <w:rPr>
                <w:rFonts w:hint="eastAsia" w:ascii="方正仿宋_GBK" w:hAnsi="方正仿宋_GBK" w:eastAsia="方正仿宋_GBK" w:cs="方正仿宋_GBK"/>
                <w:bCs/>
                <w:sz w:val="18"/>
                <w:szCs w:val="18"/>
              </w:rPr>
              <w:t>《化妆品生产质量管理规范》第七条、第八条；</w:t>
            </w:r>
            <w:r>
              <w:rPr>
                <w:rFonts w:hint="eastAsia" w:ascii="方正仿宋_GBK" w:hAnsi="方正仿宋_GBK" w:eastAsia="方正仿宋_GBK" w:cs="方正仿宋_GBK"/>
                <w:bCs/>
                <w:kern w:val="0"/>
                <w:sz w:val="18"/>
                <w:szCs w:val="18"/>
              </w:rPr>
              <w:t>《企业落实化妆品质量安全主体责任监督管理规定》第八条、</w:t>
            </w:r>
            <w:r>
              <w:rPr>
                <w:rFonts w:hint="eastAsia" w:ascii="方正仿宋_GBK" w:hAnsi="方正仿宋_GBK" w:eastAsia="方正仿宋_GBK" w:cs="方正仿宋_GBK"/>
                <w:kern w:val="0"/>
                <w:sz w:val="18"/>
                <w:szCs w:val="18"/>
              </w:rPr>
              <w:t>第十七条</w:t>
            </w:r>
            <w:r>
              <w:rPr>
                <w:rFonts w:hint="eastAsia" w:ascii="方正仿宋_GBK" w:hAnsi="方正仿宋_GBK" w:eastAsia="方正仿宋_GBK" w:cs="方正仿宋_GBK"/>
                <w:bCs/>
                <w:kern w:val="0"/>
                <w:sz w:val="18"/>
                <w:szCs w:val="18"/>
              </w:rPr>
              <w:t>、</w:t>
            </w:r>
            <w:r>
              <w:rPr>
                <w:rFonts w:hint="eastAsia" w:ascii="方正仿宋_GBK" w:hAnsi="方正仿宋_GBK" w:eastAsia="方正仿宋_GBK" w:cs="方正仿宋_GBK"/>
                <w:kern w:val="0"/>
                <w:sz w:val="18"/>
                <w:szCs w:val="18"/>
              </w:rPr>
              <w:t>第十八条</w:t>
            </w:r>
            <w:r>
              <w:rPr>
                <w:rFonts w:hint="eastAsia" w:ascii="方正仿宋_GBK" w:hAnsi="方正仿宋_GBK" w:eastAsia="方正仿宋_GBK" w:cs="方正仿宋_GBK"/>
                <w:sz w:val="18"/>
                <w:szCs w:val="18"/>
              </w:rPr>
              <w:t>、</w:t>
            </w:r>
            <w:r>
              <w:rPr>
                <w:rFonts w:hint="eastAsia" w:ascii="方正仿宋_GBK" w:hAnsi="方正仿宋_GBK" w:eastAsia="方正仿宋_GBK" w:cs="方正仿宋_GBK"/>
                <w:kern w:val="0"/>
                <w:sz w:val="18"/>
                <w:szCs w:val="18"/>
              </w:rPr>
              <w:t>第二十一条</w:t>
            </w:r>
            <w:r>
              <w:rPr>
                <w:rFonts w:hint="eastAsia" w:ascii="方正仿宋_GBK" w:hAnsi="方正仿宋_GBK" w:eastAsia="方正仿宋_GBK" w:cs="方正仿宋_GBK"/>
                <w:bCs/>
                <w:kern w:val="0"/>
                <w:sz w:val="18"/>
                <w:szCs w:val="18"/>
              </w:rPr>
              <w:t>、</w:t>
            </w:r>
            <w:r>
              <w:rPr>
                <w:rFonts w:hint="eastAsia" w:ascii="方正仿宋_GBK" w:hAnsi="方正仿宋_GBK" w:eastAsia="方正仿宋_GBK" w:cs="方正仿宋_GBK"/>
                <w:kern w:val="0"/>
                <w:sz w:val="18"/>
                <w:szCs w:val="18"/>
              </w:rPr>
              <w:t>第二十二条</w:t>
            </w:r>
            <w:r>
              <w:rPr>
                <w:rFonts w:hint="eastAsia" w:ascii="方正仿宋_GBK" w:hAnsi="方正仿宋_GBK" w:eastAsia="方正仿宋_GBK" w:cs="方正仿宋_GBK"/>
                <w:bCs/>
                <w:kern w:val="0"/>
                <w:sz w:val="18"/>
                <w:szCs w:val="18"/>
              </w:rPr>
              <w:t>、</w:t>
            </w:r>
            <w:r>
              <w:rPr>
                <w:rFonts w:hint="eastAsia" w:ascii="方正仿宋_GBK" w:hAnsi="方正仿宋_GBK" w:eastAsia="方正仿宋_GBK" w:cs="方正仿宋_GBK"/>
                <w:kern w:val="0"/>
                <w:sz w:val="18"/>
                <w:szCs w:val="18"/>
              </w:rPr>
              <w:t>第二十三条</w:t>
            </w:r>
            <w:r>
              <w:rPr>
                <w:rFonts w:hint="eastAsia" w:ascii="方正仿宋_GBK" w:hAnsi="方正仿宋_GBK" w:eastAsia="方正仿宋_GBK" w:cs="方正仿宋_GBK"/>
                <w:kern w:val="0"/>
                <w:sz w:val="18"/>
                <w:szCs w:val="18"/>
                <w:lang w:val="en"/>
              </w:rPr>
              <w:t>。</w:t>
            </w:r>
          </w:p>
        </w:tc>
      </w:tr>
      <w:tr w14:paraId="3059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vAlign w:val="center"/>
          </w:tcPr>
          <w:p w14:paraId="18B77FF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机构与人员</w:t>
            </w:r>
          </w:p>
        </w:tc>
        <w:tc>
          <w:tcPr>
            <w:tcW w:w="742" w:type="dxa"/>
            <w:vAlign w:val="center"/>
          </w:tcPr>
          <w:p w14:paraId="5AC9469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30</w:t>
            </w:r>
          </w:p>
        </w:tc>
        <w:tc>
          <w:tcPr>
            <w:tcW w:w="8525" w:type="dxa"/>
            <w:vAlign w:val="center"/>
          </w:tcPr>
          <w:p w14:paraId="4CFC3B5D">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质量管理部门负责人应当具备化妆品、化学、化工、生物、医学、药学、食品、公共卫生或者法学等化妆品质量安全相关专业知识，熟悉相关法律法规、强制性国家标准、技术规范，并具有化妆品生产或者质量管理经验。质量管理部门负责人应当承担下列职责：</w:t>
            </w:r>
          </w:p>
          <w:p w14:paraId="0D0FE5CF">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（一）所有产品质量有关文件的审核；</w:t>
            </w:r>
          </w:p>
          <w:p w14:paraId="0485F27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（二）组织与产品质量相关的变更、自查、不合格品管理、不良反应监测、召回等活动；</w:t>
            </w:r>
          </w:p>
          <w:p w14:paraId="7D09552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（三）保证质量标准、检验方法和其他质量管理规程有效实施；</w:t>
            </w:r>
          </w:p>
          <w:p w14:paraId="4BA2689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（四）保证完成必要的验证工作，审核和批准验证方案和报告；</w:t>
            </w:r>
          </w:p>
          <w:p w14:paraId="189B38A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（五）承担物料和产品的放行审核工作；</w:t>
            </w:r>
          </w:p>
          <w:p w14:paraId="43026D1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（六）评价物料供应商；</w:t>
            </w:r>
          </w:p>
          <w:p w14:paraId="0C66B9F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（七）制定并实施生产质量管理相关的培训计划，保证员工经过与其岗位要求相适应的培训，并达到岗位职责的要求；</w:t>
            </w:r>
          </w:p>
          <w:p w14:paraId="41CFC9E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（八）负责其他与产品质量有关的活动。</w:t>
            </w:r>
          </w:p>
          <w:p w14:paraId="1436263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bCs/>
                <w:spacing w:val="6"/>
                <w:sz w:val="18"/>
                <w:szCs w:val="18"/>
              </w:rPr>
              <w:t>质量管理部门负责人不得兼任生产部门负</w:t>
            </w:r>
            <w:r>
              <w:rPr>
                <w:rFonts w:hint="eastAsia" w:ascii="方正仿宋_GBK" w:hAnsi="方正仿宋_GBK" w:eastAsia="方正仿宋_GBK" w:cs="方正仿宋_GBK"/>
                <w:bCs/>
                <w:sz w:val="18"/>
                <w:szCs w:val="18"/>
              </w:rPr>
              <w:t>责人。</w:t>
            </w:r>
          </w:p>
        </w:tc>
        <w:tc>
          <w:tcPr>
            <w:tcW w:w="5522" w:type="dxa"/>
            <w:vAlign w:val="center"/>
          </w:tcPr>
          <w:p w14:paraId="7156E44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bCs/>
                <w:sz w:val="18"/>
                <w:szCs w:val="18"/>
              </w:rPr>
              <w:t>《化妆品生产质量管理规范》第八条。</w:t>
            </w:r>
          </w:p>
        </w:tc>
      </w:tr>
      <w:tr w14:paraId="292F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Merge w:val="restart"/>
            <w:vAlign w:val="center"/>
          </w:tcPr>
          <w:p w14:paraId="5AAB435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机构与人员</w:t>
            </w:r>
          </w:p>
        </w:tc>
        <w:tc>
          <w:tcPr>
            <w:tcW w:w="742" w:type="dxa"/>
            <w:vAlign w:val="center"/>
          </w:tcPr>
          <w:p w14:paraId="0B63F87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31</w:t>
            </w:r>
          </w:p>
        </w:tc>
        <w:tc>
          <w:tcPr>
            <w:tcW w:w="8525" w:type="dxa"/>
            <w:vAlign w:val="center"/>
          </w:tcPr>
          <w:p w14:paraId="7A081267">
            <w:pPr>
              <w:pStyle w:val="19"/>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生产部门负责人应当具备化妆品、化学、化工、生物、医学、药学、食品、公共卫生或者法学等化妆品质量安全相关专业知识，熟悉相关法律法规、强制性国家标准、技术规范，并具有化妆品生产或者质量管理经验。生产部门负责人应当承担下列职责：</w:t>
            </w:r>
          </w:p>
          <w:p w14:paraId="1A8E0AF6">
            <w:pPr>
              <w:pStyle w:val="19"/>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（一）保证产品按照化妆品注册、备案资料载明的技术要求以及企业制定的生产工艺规程和岗位操作规程生产；</w:t>
            </w:r>
          </w:p>
          <w:p w14:paraId="7418D5E4">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（二）保证生产记录真实、完整、准确、可追溯；</w:t>
            </w:r>
          </w:p>
          <w:p w14:paraId="32A4F9FF">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（三）保证生产环境、设施设备满足生产质量需要；</w:t>
            </w:r>
          </w:p>
          <w:p w14:paraId="33D83A9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（四）保证直接从事生产活动的员工经过培训，具备与其岗位要求相适应的知识和技能；</w:t>
            </w:r>
          </w:p>
          <w:p w14:paraId="638FA1C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（五）负责其他与产品生产有关的活动。</w:t>
            </w:r>
          </w:p>
        </w:tc>
        <w:tc>
          <w:tcPr>
            <w:tcW w:w="5522" w:type="dxa"/>
            <w:vAlign w:val="center"/>
          </w:tcPr>
          <w:p w14:paraId="59D9FB96">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《化妆品生产质量管理规范》第九条</w:t>
            </w:r>
            <w:r>
              <w:rPr>
                <w:rFonts w:hint="eastAsia" w:ascii="方正仿宋_GBK" w:hAnsi="方正仿宋_GBK" w:eastAsia="方正仿宋_GBK" w:cs="方正仿宋_GBK"/>
                <w:sz w:val="18"/>
                <w:szCs w:val="18"/>
              </w:rPr>
              <w:t>。</w:t>
            </w:r>
          </w:p>
        </w:tc>
      </w:tr>
      <w:tr w14:paraId="416F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762" w:type="dxa"/>
            <w:vMerge w:val="continue"/>
            <w:vAlign w:val="center"/>
          </w:tcPr>
          <w:p w14:paraId="44EE23A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0E482D5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32</w:t>
            </w:r>
          </w:p>
        </w:tc>
        <w:tc>
          <w:tcPr>
            <w:tcW w:w="8525" w:type="dxa"/>
            <w:vAlign w:val="center"/>
          </w:tcPr>
          <w:p w14:paraId="142FF831">
            <w:pPr>
              <w:pStyle w:val="19"/>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企业应当制定并实施从业人员入职培训和年度培训计划，</w:t>
            </w:r>
            <w:r>
              <w:rPr>
                <w:rFonts w:hint="eastAsia" w:ascii="方正仿宋_GBK" w:hAnsi="方正仿宋_GBK" w:eastAsia="方正仿宋_GBK" w:cs="方正仿宋_GBK"/>
                <w:sz w:val="18"/>
                <w:szCs w:val="18"/>
              </w:rPr>
              <w:t>开展化妆品法律、法规、规章、强制性国家标准、技术规范等知识培训，</w:t>
            </w:r>
            <w:r>
              <w:rPr>
                <w:rFonts w:hint="eastAsia" w:ascii="方正仿宋_GBK" w:hAnsi="方正仿宋_GBK" w:eastAsia="方正仿宋_GBK" w:cs="方正仿宋_GBK"/>
                <w:bCs/>
                <w:sz w:val="18"/>
                <w:szCs w:val="18"/>
              </w:rPr>
              <w:t>确保员工熟悉岗位职责，具备履行岗位职责的法律知识、专业知识以及操作技能，考核合格后方可上岗。</w:t>
            </w:r>
          </w:p>
          <w:p w14:paraId="40F33154">
            <w:pPr>
              <w:pStyle w:val="19"/>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sz w:val="18"/>
                <w:szCs w:val="18"/>
              </w:rPr>
              <w:t>生产岗位操作人员、检验人员应当具有相应的知识和实际操作技能</w:t>
            </w:r>
          </w:p>
          <w:p w14:paraId="146D7C5B">
            <w:pPr>
              <w:pStyle w:val="19"/>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bCs/>
                <w:sz w:val="18"/>
                <w:szCs w:val="18"/>
              </w:rPr>
              <w:t>企业应当建立员工培训档案，包括培训人员、时间、内容、方式及考核情况等。</w:t>
            </w:r>
          </w:p>
        </w:tc>
        <w:tc>
          <w:tcPr>
            <w:tcW w:w="5522" w:type="dxa"/>
            <w:vAlign w:val="center"/>
          </w:tcPr>
          <w:p w14:paraId="09D225C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第三十条；</w:t>
            </w:r>
            <w:r>
              <w:rPr>
                <w:rFonts w:hint="eastAsia" w:ascii="方正仿宋_GBK" w:hAnsi="方正仿宋_GBK" w:eastAsia="方正仿宋_GBK" w:cs="方正仿宋_GBK"/>
                <w:bCs/>
                <w:sz w:val="18"/>
                <w:szCs w:val="18"/>
              </w:rPr>
              <w:t>《化妆品生产质量管理规范》第十条。</w:t>
            </w:r>
          </w:p>
        </w:tc>
      </w:tr>
      <w:tr w14:paraId="3250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762" w:type="dxa"/>
            <w:vMerge w:val="continue"/>
            <w:vAlign w:val="center"/>
          </w:tcPr>
          <w:p w14:paraId="52D1F694">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1A4F9ED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33</w:t>
            </w:r>
          </w:p>
        </w:tc>
        <w:tc>
          <w:tcPr>
            <w:tcW w:w="8525" w:type="dxa"/>
            <w:vAlign w:val="center"/>
          </w:tcPr>
          <w:p w14:paraId="4FAFDCB7">
            <w:pPr>
              <w:pStyle w:val="19"/>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企业应当建立并执行从业人员健康管理制度。直接从事化妆品生产活动的人员应当在上岗前</w:t>
            </w:r>
            <w:r>
              <w:rPr>
                <w:rFonts w:hint="eastAsia" w:ascii="方正仿宋_GBK" w:hAnsi="方正仿宋_GBK" w:eastAsia="方正仿宋_GBK" w:cs="方正仿宋_GBK"/>
                <w:bCs/>
                <w:spacing w:val="-6"/>
                <w:sz w:val="18"/>
                <w:szCs w:val="18"/>
              </w:rPr>
              <w:t>接受健康检查，上岗后每年接受健康检查。患有国务院卫生主管部门规定的有碍化妆品质量安全疾病的人员不得直接从事化妆品生产活动。企业应当建立从业人员健康档案，至少保存3年。</w:t>
            </w:r>
          </w:p>
          <w:p w14:paraId="79712400">
            <w:pPr>
              <w:pStyle w:val="19"/>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bCs/>
                <w:sz w:val="18"/>
                <w:szCs w:val="18"/>
              </w:rPr>
              <w:t>企业应当建立并执行进入生产车间卫生管理制度、外来人员管理制度，不得在生产车间、实验室内开展对产品质量安全有不利影响的活动。</w:t>
            </w:r>
          </w:p>
        </w:tc>
        <w:tc>
          <w:tcPr>
            <w:tcW w:w="5522" w:type="dxa"/>
            <w:vAlign w:val="center"/>
          </w:tcPr>
          <w:p w14:paraId="5539950C">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第三十三条；</w:t>
            </w: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第二十九条；</w:t>
            </w:r>
            <w:r>
              <w:rPr>
                <w:rFonts w:hint="eastAsia" w:ascii="方正仿宋_GBK" w:hAnsi="方正仿宋_GBK" w:eastAsia="方正仿宋_GBK" w:cs="方正仿宋_GBK"/>
                <w:bCs/>
                <w:sz w:val="18"/>
                <w:szCs w:val="18"/>
              </w:rPr>
              <w:t>《化妆品生产质量管理规范》第十一条</w:t>
            </w:r>
            <w:r>
              <w:rPr>
                <w:rFonts w:hint="eastAsia" w:ascii="方正仿宋_GBK" w:hAnsi="方正仿宋_GBK" w:eastAsia="方正仿宋_GBK" w:cs="方正仿宋_GBK"/>
                <w:sz w:val="18"/>
                <w:szCs w:val="18"/>
              </w:rPr>
              <w:t>。</w:t>
            </w:r>
          </w:p>
        </w:tc>
      </w:tr>
      <w:tr w14:paraId="5C6D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62" w:type="dxa"/>
            <w:vAlign w:val="center"/>
          </w:tcPr>
          <w:p w14:paraId="0E54582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机构与人员</w:t>
            </w:r>
          </w:p>
        </w:tc>
        <w:tc>
          <w:tcPr>
            <w:tcW w:w="742" w:type="dxa"/>
            <w:vAlign w:val="center"/>
          </w:tcPr>
          <w:p w14:paraId="14F8255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34</w:t>
            </w:r>
          </w:p>
        </w:tc>
        <w:tc>
          <w:tcPr>
            <w:tcW w:w="8525" w:type="dxa"/>
            <w:vAlign w:val="center"/>
          </w:tcPr>
          <w:p w14:paraId="3CD378D1">
            <w:pPr>
              <w:pStyle w:val="3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textAlignment w:val="auto"/>
              <w:outlineLvl w:val="9"/>
              <w:rPr>
                <w:rFonts w:hint="eastAsia" w:ascii="方正仿宋_GBK" w:hAnsi="方正仿宋_GBK" w:eastAsia="方正仿宋_GBK" w:cs="方正仿宋_GBK"/>
                <w:snapToGrid w:val="0"/>
                <w:sz w:val="18"/>
                <w:szCs w:val="18"/>
              </w:rPr>
            </w:pPr>
            <w:r>
              <w:rPr>
                <w:rFonts w:hint="eastAsia" w:ascii="方正仿宋_GBK" w:hAnsi="方正仿宋_GBK" w:eastAsia="方正仿宋_GBK" w:cs="方正仿宋_GBK"/>
                <w:sz w:val="18"/>
                <w:szCs w:val="18"/>
              </w:rPr>
              <w:t>企业不得招用、聘用不得从事化妆品生产经营活动的人员或者不得从事化妆品检验工作的人员从事化妆品生产经营或者检验工作。</w:t>
            </w:r>
          </w:p>
        </w:tc>
        <w:tc>
          <w:tcPr>
            <w:tcW w:w="5522" w:type="dxa"/>
            <w:vAlign w:val="center"/>
          </w:tcPr>
          <w:p w14:paraId="5192786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第七十三条。</w:t>
            </w:r>
          </w:p>
        </w:tc>
      </w:tr>
      <w:tr w14:paraId="3188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762" w:type="dxa"/>
            <w:vMerge w:val="restart"/>
            <w:vAlign w:val="center"/>
          </w:tcPr>
          <w:p w14:paraId="4E56156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质量保证与控制</w:t>
            </w:r>
          </w:p>
        </w:tc>
        <w:tc>
          <w:tcPr>
            <w:tcW w:w="742" w:type="dxa"/>
            <w:vAlign w:val="center"/>
          </w:tcPr>
          <w:p w14:paraId="60BCB4E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35</w:t>
            </w:r>
          </w:p>
        </w:tc>
        <w:tc>
          <w:tcPr>
            <w:tcW w:w="8525" w:type="dxa"/>
            <w:vAlign w:val="center"/>
          </w:tcPr>
          <w:p w14:paraId="15A74D7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企业应当建立健全化妆品生产质量管理体系文件，包括质量方针、质量目标、质量管理制度、质量标准、产品配方、生产工艺规程、操作规程，以及法律法规要求的其他文件。</w:t>
            </w:r>
          </w:p>
          <w:p w14:paraId="39848BB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bCs/>
                <w:sz w:val="18"/>
                <w:szCs w:val="18"/>
              </w:rPr>
              <w:t>企业应当建立并执行文件管理制度，保证化妆品生产质量管理体系文件的制定、审核、批准、发放、销毁等得到有效控制。</w:t>
            </w:r>
          </w:p>
        </w:tc>
        <w:tc>
          <w:tcPr>
            <w:tcW w:w="5522" w:type="dxa"/>
            <w:vAlign w:val="center"/>
          </w:tcPr>
          <w:p w14:paraId="19D2E89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bCs/>
                <w:sz w:val="18"/>
                <w:szCs w:val="18"/>
              </w:rPr>
              <w:t>《化妆品生产质量管理规范》第十二条。</w:t>
            </w:r>
          </w:p>
        </w:tc>
      </w:tr>
      <w:tr w14:paraId="1EE3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762" w:type="dxa"/>
            <w:vMerge w:val="continue"/>
            <w:vAlign w:val="center"/>
          </w:tcPr>
          <w:p w14:paraId="4B77768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498D5EB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36</w:t>
            </w:r>
          </w:p>
        </w:tc>
        <w:tc>
          <w:tcPr>
            <w:tcW w:w="8525" w:type="dxa"/>
            <w:vAlign w:val="center"/>
          </w:tcPr>
          <w:p w14:paraId="61C974C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企业应当建立并执行记录管理制度。记录应当真实、完整、准确，清晰易辨，相互关联可追溯，不得随意更改，更正应当留痕并签注更正人姓名及日期。</w:t>
            </w:r>
          </w:p>
          <w:p w14:paraId="5C2904A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采用计算机（电子化）系统生成、保存记录或者数据的，应当符合本规范附1的要求。</w:t>
            </w:r>
          </w:p>
          <w:p w14:paraId="6DA9006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记录应当标示清晰，存放有序，便于查阅。与产品追溯相关的记录，其保存期限不得少于产品使用期限届满后1年；产品使用期限不足1年的，记录保存期限不得少于2年。与产品追溯不相关的记录，其保存期限不得少于2年。记录保存期限另有规定的从其规定。</w:t>
            </w:r>
          </w:p>
          <w:p w14:paraId="4651849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kern w:val="0"/>
                <w:sz w:val="18"/>
                <w:szCs w:val="18"/>
              </w:rPr>
              <w:t>企业应当将法定代表人、质量安全负责人等人员的设置变更、岗位职责、职责履行、考核评估、学习培训情况，以及质量安全负责人提出的意见建议和风险防控动态管理机制执行等情况予以记录并存档备查。</w:t>
            </w:r>
          </w:p>
        </w:tc>
        <w:tc>
          <w:tcPr>
            <w:tcW w:w="5522" w:type="dxa"/>
            <w:vAlign w:val="center"/>
          </w:tcPr>
          <w:p w14:paraId="700B5E8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bCs/>
                <w:sz w:val="18"/>
                <w:szCs w:val="18"/>
              </w:rPr>
              <w:t>《化妆品生产质量管理规范》第十三条；</w:t>
            </w:r>
            <w:r>
              <w:rPr>
                <w:rFonts w:hint="eastAsia" w:ascii="方正仿宋_GBK" w:hAnsi="方正仿宋_GBK" w:eastAsia="方正仿宋_GBK" w:cs="方正仿宋_GBK"/>
                <w:bCs/>
                <w:kern w:val="0"/>
                <w:sz w:val="18"/>
                <w:szCs w:val="18"/>
              </w:rPr>
              <w:t>《企业落实化妆品质量安全主体责任监督管理规定》</w:t>
            </w:r>
            <w:r>
              <w:rPr>
                <w:rFonts w:hint="eastAsia" w:ascii="方正仿宋_GBK" w:hAnsi="方正仿宋_GBK" w:eastAsia="方正仿宋_GBK" w:cs="方正仿宋_GBK"/>
                <w:kern w:val="0"/>
                <w:sz w:val="18"/>
                <w:szCs w:val="18"/>
              </w:rPr>
              <w:t>第二十四条。</w:t>
            </w:r>
          </w:p>
        </w:tc>
      </w:tr>
      <w:tr w14:paraId="4597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62" w:type="dxa"/>
            <w:vMerge w:val="continue"/>
            <w:vAlign w:val="center"/>
          </w:tcPr>
          <w:p w14:paraId="7964B05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C40B39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37</w:t>
            </w:r>
          </w:p>
        </w:tc>
        <w:tc>
          <w:tcPr>
            <w:tcW w:w="8525" w:type="dxa"/>
            <w:vAlign w:val="center"/>
          </w:tcPr>
          <w:p w14:paraId="7C823FD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bCs/>
                <w:sz w:val="18"/>
                <w:szCs w:val="18"/>
              </w:rPr>
              <w:t>企业应当建立并执行追溯管理制度，对原料、内包材、半成品、成品制定明确的批号管理规则，与每批产品生产相关的所有记录应当相互关联，保证物料采购、产品生产、质量控制、贮存、销售和召回等全部活动可追溯。</w:t>
            </w:r>
          </w:p>
        </w:tc>
        <w:tc>
          <w:tcPr>
            <w:tcW w:w="5522" w:type="dxa"/>
            <w:vAlign w:val="center"/>
          </w:tcPr>
          <w:p w14:paraId="4C0C0B1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bCs/>
                <w:sz w:val="18"/>
                <w:szCs w:val="18"/>
              </w:rPr>
              <w:t>《化妆品生产质量管理规范》第十四条。</w:t>
            </w:r>
          </w:p>
        </w:tc>
      </w:tr>
      <w:tr w14:paraId="1C28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762" w:type="dxa"/>
            <w:vAlign w:val="center"/>
          </w:tcPr>
          <w:p w14:paraId="668BFA2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质量保证与控制</w:t>
            </w:r>
          </w:p>
        </w:tc>
        <w:tc>
          <w:tcPr>
            <w:tcW w:w="742" w:type="dxa"/>
            <w:vAlign w:val="center"/>
          </w:tcPr>
          <w:p w14:paraId="4D6AF75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38</w:t>
            </w:r>
          </w:p>
        </w:tc>
        <w:tc>
          <w:tcPr>
            <w:tcW w:w="8525" w:type="dxa"/>
            <w:vAlign w:val="center"/>
          </w:tcPr>
          <w:p w14:paraId="5E7C074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企业应当建立并执行质量管理体系自查制度，包括自查时间、自查依据、相关部门和人员职责、自查程序、结果评估等内容。</w:t>
            </w:r>
          </w:p>
          <w:p w14:paraId="62A3DB0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每年对化妆品生产质量管理规范的执行情况进行自查，保存期限不得少于2年。经自查发现生产条件发生变化，不再符合化妆品生产质量管理规范要求的，企业应当立即采取整改措施；发现可能影响化妆品质量安全的，应当立即停止生产，并向所在地省、自治区、直辖市药品监督管理部门报告。影响质量安全的风险因素消除后，方可恢复生产。省、自治区、直辖市药品监督管理部门可以根据实际情况组织现场检查。</w:t>
            </w:r>
          </w:p>
          <w:p w14:paraId="540D930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lang w:val="en" w:bidi="ar"/>
              </w:rPr>
            </w:pPr>
            <w:r>
              <w:rPr>
                <w:rFonts w:hint="eastAsia" w:ascii="方正仿宋_GBK" w:hAnsi="方正仿宋_GBK" w:eastAsia="方正仿宋_GBK" w:cs="方正仿宋_GBK"/>
                <w:spacing w:val="6"/>
                <w:kern w:val="0"/>
                <w:sz w:val="18"/>
                <w:szCs w:val="18"/>
              </w:rPr>
              <w:t>企业应当建立有因启动自查制度。发生产品抽样检验结果不符合规定、产品可能引发较大社会影响的化妆品不良反应或者引发严重化妆品不良反应等涉及产品质量安全情形的，质量安全负责人应当立即组织采取风险控制等措施，并组织制定自查方案，开展自查工作，查找产品存在质量安全风险的原因，消除风险隐患，并形成产品质量安全风险有因启动自查报告。有因启动自查报告应当包括启动自查原因、发现的问题、产品质量安全评价、整改措施等，经质量安全负责人批准，报告法定代表人，并反馈企业质量安全相关部门。自查整改完成后，质量安全负责人应当组织对化妆品生产质量管理体系进行评估，经评估认为影响化妆品质量安全的风险因素消除</w:t>
            </w:r>
            <w:r>
              <w:rPr>
                <w:rFonts w:hint="eastAsia" w:ascii="方正仿宋_GBK" w:hAnsi="方正仿宋_GBK" w:eastAsia="方正仿宋_GBK" w:cs="方正仿宋_GBK"/>
                <w:kern w:val="0"/>
                <w:sz w:val="18"/>
                <w:szCs w:val="18"/>
              </w:rPr>
              <w:t>，方可解除相应控制措施。</w:t>
            </w:r>
          </w:p>
          <w:p w14:paraId="00DA93D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kern w:val="0"/>
                <w:sz w:val="18"/>
                <w:szCs w:val="18"/>
              </w:rPr>
              <w:t>质量安全负责人发现上述涉及产品质量安全情形属于重大安全风险的，应当立即报告法定代表人，并提出停止相关化妆品生产经营活动等否决建议。法定代表人应当</w:t>
            </w:r>
            <w:r>
              <w:rPr>
                <w:rFonts w:hint="eastAsia" w:ascii="方正仿宋_GBK" w:hAnsi="方正仿宋_GBK" w:eastAsia="方正仿宋_GBK" w:cs="方正仿宋_GBK"/>
                <w:sz w:val="18"/>
                <w:szCs w:val="18"/>
                <w:shd w:val="clear" w:color="auto" w:fill="FFFFFF"/>
                <w:lang w:val="zh-TW" w:eastAsia="zh-TW"/>
              </w:rPr>
              <w:t>组织研究</w:t>
            </w:r>
            <w:r>
              <w:rPr>
                <w:rFonts w:hint="eastAsia" w:ascii="方正仿宋_GBK" w:hAnsi="方正仿宋_GBK" w:eastAsia="方正仿宋_GBK" w:cs="方正仿宋_GBK"/>
                <w:sz w:val="18"/>
                <w:szCs w:val="18"/>
                <w:shd w:val="clear" w:color="auto" w:fill="FFFFFF"/>
                <w:lang w:val="zh-TW"/>
              </w:rPr>
              <w:t>，</w:t>
            </w:r>
            <w:r>
              <w:rPr>
                <w:rFonts w:hint="eastAsia" w:ascii="方正仿宋_GBK" w:hAnsi="方正仿宋_GBK" w:eastAsia="方正仿宋_GBK" w:cs="方正仿宋_GBK"/>
                <w:kern w:val="0"/>
                <w:sz w:val="18"/>
                <w:szCs w:val="18"/>
              </w:rPr>
              <w:t>并采取处置措施。</w:t>
            </w:r>
          </w:p>
          <w:p w14:paraId="2F02BF1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生产企业连续停产1年以上，重新生产前，应当进行全面自查，确认符合要求后，方可恢复生产。自查和整改情况应当在恢复生产之日起10个工作日内向所在地省、自治区、直辖市药品监督管理部门报告。</w:t>
            </w:r>
          </w:p>
          <w:p w14:paraId="3ADB811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bCs/>
                <w:sz w:val="18"/>
                <w:szCs w:val="18"/>
              </w:rPr>
              <w:t>自查实施前应当制定自查方案，自查完成后应当形成自查报告。自查报告应当包括发现的问题、产品质量安全评价、整改措施等。自查报告应当经质量安全负责人批准，报告法定代表人，并反馈企业相关部门。企业应当对整改情况进行跟踪评价。</w:t>
            </w:r>
          </w:p>
        </w:tc>
        <w:tc>
          <w:tcPr>
            <w:tcW w:w="5522" w:type="dxa"/>
            <w:vAlign w:val="center"/>
          </w:tcPr>
          <w:p w14:paraId="7A45B1F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第三十四条；</w:t>
            </w: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第三十三条、第三十四条</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bCs/>
                <w:sz w:val="18"/>
                <w:szCs w:val="18"/>
              </w:rPr>
              <w:t>《化妆品生产质量管理规范》第十五条；</w:t>
            </w:r>
            <w:r>
              <w:rPr>
                <w:rFonts w:hint="eastAsia" w:ascii="方正仿宋_GBK" w:hAnsi="方正仿宋_GBK" w:eastAsia="方正仿宋_GBK" w:cs="方正仿宋_GBK"/>
                <w:bCs/>
                <w:kern w:val="0"/>
                <w:sz w:val="18"/>
                <w:szCs w:val="18"/>
              </w:rPr>
              <w:t>《企业落实化妆品质量安全主体责任监督管理规定》</w:t>
            </w:r>
            <w:r>
              <w:rPr>
                <w:rFonts w:hint="eastAsia" w:ascii="方正仿宋_GBK" w:hAnsi="方正仿宋_GBK" w:eastAsia="方正仿宋_GBK" w:cs="方正仿宋_GBK"/>
                <w:kern w:val="0"/>
                <w:sz w:val="18"/>
                <w:szCs w:val="18"/>
              </w:rPr>
              <w:t>第十九条、第二十条。</w:t>
            </w:r>
          </w:p>
        </w:tc>
      </w:tr>
      <w:tr w14:paraId="1A3A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jc w:val="center"/>
        </w:trPr>
        <w:tc>
          <w:tcPr>
            <w:tcW w:w="762" w:type="dxa"/>
            <w:vMerge w:val="restart"/>
            <w:vAlign w:val="center"/>
          </w:tcPr>
          <w:p w14:paraId="30363F4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质量保证与控制</w:t>
            </w:r>
          </w:p>
        </w:tc>
        <w:tc>
          <w:tcPr>
            <w:tcW w:w="742" w:type="dxa"/>
            <w:vAlign w:val="center"/>
          </w:tcPr>
          <w:p w14:paraId="5F25A55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39</w:t>
            </w:r>
          </w:p>
        </w:tc>
        <w:tc>
          <w:tcPr>
            <w:tcW w:w="8525" w:type="dxa"/>
            <w:vAlign w:val="center"/>
          </w:tcPr>
          <w:p w14:paraId="394C431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企业应当建立并执行检验管理制度，制定原料、内包材、半成品以及成品的质量控制要求，采用检验方式作为质量控制措施的，检验项目、检验方法和检验频次应当与化妆品注册、备案资料载明的技术要求一致。</w:t>
            </w:r>
          </w:p>
          <w:p w14:paraId="3A88AF9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bCs/>
                <w:sz w:val="18"/>
                <w:szCs w:val="18"/>
              </w:rPr>
              <w:t>企业应当明确检验或者确认方法、取样要求、样品管理要求、检验操作规程、检验过程管理要求以及检验异常结果处理要求等，检验或者确认的结果应当真实、完整、准确。</w:t>
            </w:r>
          </w:p>
        </w:tc>
        <w:tc>
          <w:tcPr>
            <w:tcW w:w="5522" w:type="dxa"/>
            <w:vAlign w:val="center"/>
          </w:tcPr>
          <w:p w14:paraId="17691D4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bCs/>
                <w:sz w:val="18"/>
                <w:szCs w:val="18"/>
              </w:rPr>
              <w:t>《化妆品生产质量管理规范》第十六条。</w:t>
            </w:r>
          </w:p>
        </w:tc>
      </w:tr>
      <w:tr w14:paraId="77B4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762" w:type="dxa"/>
            <w:vMerge w:val="continue"/>
            <w:vAlign w:val="center"/>
          </w:tcPr>
          <w:p w14:paraId="5EAC89AE">
            <w:pPr>
              <w:keepNext w:val="0"/>
              <w:keepLines w:val="0"/>
              <w:pageBreakBefore w:val="0"/>
              <w:widowControl w:val="0"/>
              <w:kinsoku/>
              <w:wordWrap/>
              <w:overflowPunct/>
              <w:topLinePunct w:val="0"/>
              <w:autoSpaceDE/>
              <w:autoSpaceDN/>
              <w:bidi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49F3562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40</w:t>
            </w:r>
          </w:p>
        </w:tc>
        <w:tc>
          <w:tcPr>
            <w:tcW w:w="8525" w:type="dxa"/>
            <w:vAlign w:val="center"/>
          </w:tcPr>
          <w:p w14:paraId="5466B09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建立与生产的化妆品品种、数量和生产许可项目等相适应的实验室，至少具备菌落总数、霉菌和酵母菌总数等微生物检验项目的检验能力，并保证检测环境、检验人员以及检验设施、设备、仪器和试剂、培养基、标准品等满足检验需要。重金属、致病菌和产品执行的标准中规定的其他安全性风险物质，可以委托取得资质认定的检验检测机构进行检验。</w:t>
            </w:r>
          </w:p>
          <w:p w14:paraId="5A1DA13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bCs/>
                <w:sz w:val="18"/>
                <w:szCs w:val="18"/>
              </w:rPr>
              <w:t>企业应当建立并执行实验室管理制度，保证实验设备仪器正常运行，对实验室使用的试剂、培养基、标准品的配制、使用、报废和有效期实施管理，保证检验结果真实、完整、准确。</w:t>
            </w:r>
          </w:p>
        </w:tc>
        <w:tc>
          <w:tcPr>
            <w:tcW w:w="5522" w:type="dxa"/>
            <w:vAlign w:val="center"/>
          </w:tcPr>
          <w:p w14:paraId="0401CC4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《化妆品生产质量管理规范》第十七条。</w:t>
            </w:r>
          </w:p>
        </w:tc>
      </w:tr>
      <w:tr w14:paraId="272F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atLeast"/>
          <w:jc w:val="center"/>
        </w:trPr>
        <w:tc>
          <w:tcPr>
            <w:tcW w:w="762" w:type="dxa"/>
            <w:vAlign w:val="center"/>
          </w:tcPr>
          <w:p w14:paraId="2427E6B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质量保证与控制</w:t>
            </w:r>
          </w:p>
        </w:tc>
        <w:tc>
          <w:tcPr>
            <w:tcW w:w="742" w:type="dxa"/>
            <w:vAlign w:val="center"/>
          </w:tcPr>
          <w:p w14:paraId="080AFA0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41</w:t>
            </w:r>
          </w:p>
        </w:tc>
        <w:tc>
          <w:tcPr>
            <w:tcW w:w="8525" w:type="dxa"/>
            <w:vAlign w:val="center"/>
          </w:tcPr>
          <w:p w14:paraId="5FC2320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企业应当建立并执行留样管理制度。每批出厂的产品均应当留样，留样数量至少达到出厂检验需求量的2倍，并应当满足产品质量检验的要求。</w:t>
            </w:r>
          </w:p>
          <w:p w14:paraId="22F654A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出厂的产品为成品的，留样应当保持原始销售包装。销售包装为套盒形式，该销售包装内含有多个化妆品且全部为最小销售单元的，如果已经对包装内的最小销售单元留样，可以不对该销售包装产品整体留样，但应当留存能够满足质量追溯需求的套盒外包装。</w:t>
            </w:r>
          </w:p>
          <w:p w14:paraId="7820C9E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出厂的产品为半成品的，留样应当密封且能够保证产品质量稳定，并有符合要求的标签信息，保证可追溯。</w:t>
            </w:r>
          </w:p>
          <w:p w14:paraId="798FFB8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企业应当依照相关法律法规的规定和标签标示的要求贮存留样的产品，并保存留样记录。留样保存期限不得少于产品使用期限届满后6个月。发现留样的产品在使用期限内变质的，企业应当及时分析原因，并依法召回已上市销售的该批次化妆品，主动消除安全风险。</w:t>
            </w:r>
          </w:p>
        </w:tc>
        <w:tc>
          <w:tcPr>
            <w:tcW w:w="5522" w:type="dxa"/>
            <w:vAlign w:val="center"/>
          </w:tcPr>
          <w:p w14:paraId="4F387B6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第三十一条；</w:t>
            </w:r>
            <w:r>
              <w:rPr>
                <w:rFonts w:hint="eastAsia" w:ascii="方正仿宋_GBK" w:hAnsi="方正仿宋_GBK" w:eastAsia="方正仿宋_GBK" w:cs="方正仿宋_GBK"/>
                <w:bCs/>
                <w:sz w:val="18"/>
                <w:szCs w:val="18"/>
              </w:rPr>
              <w:t>《化妆品生产质量管理规范》第十八条。</w:t>
            </w:r>
          </w:p>
        </w:tc>
      </w:tr>
      <w:tr w14:paraId="4368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762" w:type="dxa"/>
            <w:vMerge w:val="restart"/>
            <w:vAlign w:val="center"/>
          </w:tcPr>
          <w:p w14:paraId="6EC8159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厂房设施与设备管理</w:t>
            </w:r>
          </w:p>
        </w:tc>
        <w:tc>
          <w:tcPr>
            <w:tcW w:w="742" w:type="dxa"/>
            <w:vAlign w:val="center"/>
          </w:tcPr>
          <w:p w14:paraId="35E20E9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42</w:t>
            </w:r>
          </w:p>
        </w:tc>
        <w:tc>
          <w:tcPr>
            <w:tcW w:w="8525" w:type="dxa"/>
            <w:vAlign w:val="center"/>
          </w:tcPr>
          <w:p w14:paraId="5F664CC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企业应当具备与生产的化妆品品种、数量和生产许可项目等相适应的生产场地和设施设备。生产场地选址应当不受有毒、有害场所以及其他污染源的影响，建筑结构、生产车间和设施设备应当便于清洁、操作和维护。</w:t>
            </w:r>
          </w:p>
        </w:tc>
        <w:tc>
          <w:tcPr>
            <w:tcW w:w="5522" w:type="dxa"/>
            <w:vAlign w:val="center"/>
          </w:tcPr>
          <w:p w14:paraId="06C8B20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《化妆品生产质量管理规范》第十九条。</w:t>
            </w:r>
          </w:p>
        </w:tc>
      </w:tr>
      <w:tr w14:paraId="077E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762" w:type="dxa"/>
            <w:vMerge w:val="continue"/>
            <w:vAlign w:val="center"/>
          </w:tcPr>
          <w:p w14:paraId="7139C58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0BC16F0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43</w:t>
            </w:r>
          </w:p>
        </w:tc>
        <w:tc>
          <w:tcPr>
            <w:tcW w:w="8525" w:type="dxa"/>
            <w:vAlign w:val="center"/>
          </w:tcPr>
          <w:p w14:paraId="4154916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企业应当按照生产工艺流程及环境控制要求设置生产车间，不得擅自改变生产车间的功能区</w:t>
            </w:r>
            <w:r>
              <w:rPr>
                <w:rFonts w:hint="eastAsia" w:ascii="方正仿宋_GBK" w:hAnsi="方正仿宋_GBK" w:eastAsia="方正仿宋_GBK" w:cs="方正仿宋_GBK"/>
                <w:bCs/>
                <w:spacing w:val="-6"/>
                <w:sz w:val="18"/>
                <w:szCs w:val="18"/>
              </w:rPr>
              <w:t>域划分。生产车间不得有污染源，物料、产品和人员流向应当合理，避免产生污染与交叉污染。</w:t>
            </w:r>
          </w:p>
          <w:p w14:paraId="0D88B18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生产车间更衣室应当配备衣柜、鞋柜，洁净区、准洁净区应当配备非手接触式洗手及消毒设施。企业应当根据生产环境控制需要设置二次更衣室。</w:t>
            </w:r>
          </w:p>
        </w:tc>
        <w:tc>
          <w:tcPr>
            <w:tcW w:w="5522" w:type="dxa"/>
            <w:vAlign w:val="center"/>
          </w:tcPr>
          <w:p w14:paraId="4203EA1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《化妆品生产质量管理规范》第二十条。</w:t>
            </w:r>
          </w:p>
        </w:tc>
      </w:tr>
      <w:tr w14:paraId="3031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762" w:type="dxa"/>
            <w:vMerge w:val="restart"/>
            <w:vAlign w:val="center"/>
          </w:tcPr>
          <w:p w14:paraId="7E96CE5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厂房设施与设备管理</w:t>
            </w:r>
          </w:p>
        </w:tc>
        <w:tc>
          <w:tcPr>
            <w:tcW w:w="742" w:type="dxa"/>
            <w:vAlign w:val="center"/>
          </w:tcPr>
          <w:p w14:paraId="6AB8F1D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44</w:t>
            </w:r>
          </w:p>
        </w:tc>
        <w:tc>
          <w:tcPr>
            <w:tcW w:w="8525" w:type="dxa"/>
            <w:vAlign w:val="center"/>
          </w:tcPr>
          <w:p w14:paraId="76457BD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按照产品工艺环境要求，在生产车间内划分洁净区、准洁净区、一般生产区，生产车间环境指标应当符合本规范附2的要求。不同洁净级别的区域应当物理隔离，并根据工艺质量保证要求，保持相应的压差。</w:t>
            </w:r>
          </w:p>
          <w:p w14:paraId="5B07822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生产车间应当保持良好的通风和适宜的温度、湿度。根据生产工艺需要，洁净区应当采取净化和消毒措施，准洁净区应当采取消毒措施。企业应当制定洁净区和准洁净区环境监控计划，定期进行监控，每年按照化妆品生产车间环境要求对生产车间进行检测。</w:t>
            </w:r>
          </w:p>
        </w:tc>
        <w:tc>
          <w:tcPr>
            <w:tcW w:w="5522" w:type="dxa"/>
            <w:vAlign w:val="center"/>
          </w:tcPr>
          <w:p w14:paraId="14C2D8A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《化妆品生产质量管理规范》第二十一条。</w:t>
            </w:r>
          </w:p>
        </w:tc>
      </w:tr>
      <w:tr w14:paraId="57C7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62" w:type="dxa"/>
            <w:vMerge w:val="continue"/>
            <w:vAlign w:val="center"/>
          </w:tcPr>
          <w:p w14:paraId="2D67ACA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4309AFB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45</w:t>
            </w:r>
          </w:p>
        </w:tc>
        <w:tc>
          <w:tcPr>
            <w:tcW w:w="8525" w:type="dxa"/>
            <w:vAlign w:val="center"/>
          </w:tcPr>
          <w:p w14:paraId="6DCF08C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生产车间应当配备防止蚊蝇、昆虫、鼠和其他动物进入、孳生的设施，并有效监控。物料、产品等贮存区域应当配备合适的照明、通风、防鼠、防虫、防尘、防潮等设施，并依照物料和产品的特性配备温度、湿度调节及监控设施。</w:t>
            </w:r>
          </w:p>
          <w:p w14:paraId="4009AE0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生产车间等场所不得贮存、生产对化妆品质量安全有不利影响的物料、产品或者其他物品。</w:t>
            </w:r>
          </w:p>
        </w:tc>
        <w:tc>
          <w:tcPr>
            <w:tcW w:w="5522" w:type="dxa"/>
            <w:vAlign w:val="center"/>
          </w:tcPr>
          <w:p w14:paraId="1148AB4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第二十四条；</w:t>
            </w:r>
            <w:r>
              <w:rPr>
                <w:rFonts w:hint="eastAsia" w:ascii="方正仿宋_GBK" w:hAnsi="方正仿宋_GBK" w:eastAsia="方正仿宋_GBK" w:cs="方正仿宋_GBK"/>
                <w:bCs/>
                <w:sz w:val="18"/>
                <w:szCs w:val="18"/>
              </w:rPr>
              <w:t>《化妆品生产质量管理规范》第二十二条。</w:t>
            </w:r>
          </w:p>
        </w:tc>
      </w:tr>
      <w:tr w14:paraId="164F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vMerge w:val="continue"/>
            <w:vAlign w:val="center"/>
          </w:tcPr>
          <w:p w14:paraId="035B138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5EF484F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46</w:t>
            </w:r>
          </w:p>
        </w:tc>
        <w:tc>
          <w:tcPr>
            <w:tcW w:w="8525" w:type="dxa"/>
            <w:vAlign w:val="center"/>
          </w:tcPr>
          <w:p w14:paraId="51E53DE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易产生粉尘、不易清洁等的生产工序，应当在单独的生产操作区域完成，使用专用的生产设备，并采取相应的清洁措施，防止交叉污染。</w:t>
            </w:r>
          </w:p>
          <w:p w14:paraId="4CCE131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易产生粉尘和使用挥发性物质生产工序的操作区域应当配备有效的除尘或者排风设施。</w:t>
            </w:r>
          </w:p>
        </w:tc>
        <w:tc>
          <w:tcPr>
            <w:tcW w:w="5522" w:type="dxa"/>
            <w:vAlign w:val="center"/>
          </w:tcPr>
          <w:p w14:paraId="6AF7A96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《化妆品生产质量管理规范》第二十三条。</w:t>
            </w:r>
          </w:p>
        </w:tc>
      </w:tr>
      <w:tr w14:paraId="3D82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762" w:type="dxa"/>
            <w:vMerge w:val="continue"/>
            <w:vAlign w:val="center"/>
          </w:tcPr>
          <w:p w14:paraId="60DEF71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859938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47</w:t>
            </w:r>
          </w:p>
        </w:tc>
        <w:tc>
          <w:tcPr>
            <w:tcW w:w="8525" w:type="dxa"/>
            <w:vAlign w:val="center"/>
          </w:tcPr>
          <w:p w14:paraId="631D21C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配备与生产的化妆品品种、数量、生产许可项目、生产工艺流程相适应的设备，与产品质量安全相关的设备应当设置唯一编号。管道的设计、安装应当避免死角、盲管或者受到污染，固定管道上应当清晰标示内容物的名称或者管道用途，并注明流向。</w:t>
            </w:r>
          </w:p>
          <w:p w14:paraId="5B6B762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所有与原料、内包材、产品接触的设备、器具、管道等的材质应当满足使用要求，不得影响产品质量安全。</w:t>
            </w:r>
          </w:p>
        </w:tc>
        <w:tc>
          <w:tcPr>
            <w:tcW w:w="5522" w:type="dxa"/>
            <w:vAlign w:val="center"/>
          </w:tcPr>
          <w:p w14:paraId="036E4C9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《化妆品生产质量管理规范》第二十四条。</w:t>
            </w:r>
          </w:p>
        </w:tc>
      </w:tr>
      <w:tr w14:paraId="5B64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762" w:type="dxa"/>
            <w:vMerge w:val="restart"/>
            <w:vAlign w:val="center"/>
          </w:tcPr>
          <w:p w14:paraId="182E2731">
            <w:pPr>
              <w:keepNext w:val="0"/>
              <w:keepLines w:val="0"/>
              <w:pageBreakBefore w:val="0"/>
              <w:widowControl w:val="0"/>
              <w:kinsoku/>
              <w:wordWrap/>
              <w:overflowPunct/>
              <w:topLinePunct w:val="0"/>
              <w:autoSpaceDE/>
              <w:autoSpaceDN/>
              <w:bidi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bCs/>
                <w:sz w:val="18"/>
                <w:szCs w:val="18"/>
              </w:rPr>
              <w:t>厂房设施与设备管理</w:t>
            </w:r>
          </w:p>
        </w:tc>
        <w:tc>
          <w:tcPr>
            <w:tcW w:w="742" w:type="dxa"/>
            <w:vAlign w:val="center"/>
          </w:tcPr>
          <w:p w14:paraId="3D670DA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48</w:t>
            </w:r>
          </w:p>
        </w:tc>
        <w:tc>
          <w:tcPr>
            <w:tcW w:w="8525" w:type="dxa"/>
            <w:vAlign w:val="center"/>
          </w:tcPr>
          <w:p w14:paraId="3939901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企业应当建立并执行生产设备管理制度，包括生产设备的采购、安装、确认、使用、维护保养、清洁等要求，对关键衡器、量具、仪表和仪器定期进行检定或者校准。企业应当建立并执行主要生产设备使用规程。设备状态标识、清洁消毒标识应当清晰。企业应当建立并执行生产设备、管道、容器、器具的清洁消毒操作规程。所选用的润滑剂、清洁剂、消毒剂不得对物料、产品或者设备、器具造成污染或者腐蚀。</w:t>
            </w:r>
          </w:p>
        </w:tc>
        <w:tc>
          <w:tcPr>
            <w:tcW w:w="5522" w:type="dxa"/>
            <w:vAlign w:val="center"/>
          </w:tcPr>
          <w:p w14:paraId="7DC3532F">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《化妆品生产质量管理规范》第二十五条。</w:t>
            </w:r>
          </w:p>
        </w:tc>
      </w:tr>
      <w:tr w14:paraId="0E0E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2" w:type="dxa"/>
            <w:vMerge w:val="continue"/>
            <w:vAlign w:val="center"/>
          </w:tcPr>
          <w:p w14:paraId="33E1ECC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03CE43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49</w:t>
            </w:r>
          </w:p>
        </w:tc>
        <w:tc>
          <w:tcPr>
            <w:tcW w:w="8525" w:type="dxa"/>
            <w:vAlign w:val="center"/>
          </w:tcPr>
          <w:p w14:paraId="2B318CD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pacing w:val="-4"/>
                <w:sz w:val="18"/>
                <w:szCs w:val="18"/>
              </w:rPr>
            </w:pPr>
            <w:r>
              <w:rPr>
                <w:rFonts w:hint="eastAsia" w:ascii="方正仿宋_GBK" w:hAnsi="方正仿宋_GBK" w:eastAsia="方正仿宋_GBK" w:cs="方正仿宋_GBK"/>
                <w:bCs/>
                <w:spacing w:val="-4"/>
                <w:sz w:val="18"/>
                <w:szCs w:val="18"/>
              </w:rPr>
              <w:t>企业制水、水贮存及输送系统的设计、安装、运行、维护应当确保工艺用水达到质量标准要求。</w:t>
            </w:r>
          </w:p>
          <w:p w14:paraId="2DA0329D">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企业应当建立并执行水处理系统定期清洁、消毒、监测、维护制度。</w:t>
            </w:r>
          </w:p>
        </w:tc>
        <w:tc>
          <w:tcPr>
            <w:tcW w:w="5522" w:type="dxa"/>
            <w:vAlign w:val="center"/>
          </w:tcPr>
          <w:p w14:paraId="0C771AA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《化妆品生产质量管理规范》第二十六条。</w:t>
            </w:r>
          </w:p>
        </w:tc>
      </w:tr>
      <w:tr w14:paraId="7FC2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2" w:type="dxa"/>
            <w:vMerge w:val="continue"/>
            <w:vAlign w:val="center"/>
          </w:tcPr>
          <w:p w14:paraId="3710349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A559ED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50</w:t>
            </w:r>
          </w:p>
        </w:tc>
        <w:tc>
          <w:tcPr>
            <w:tcW w:w="8525" w:type="dxa"/>
            <w:vAlign w:val="center"/>
          </w:tcPr>
          <w:p w14:paraId="2AF3A8D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企业空气净化系统的设计、安装、运行、维护应当确保生产车间达到环境要求。</w:t>
            </w:r>
          </w:p>
          <w:p w14:paraId="3441EB7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企业应当建立并执行空气净化系统定期清洁、消毒、监测、维护制度。</w:t>
            </w:r>
          </w:p>
        </w:tc>
        <w:tc>
          <w:tcPr>
            <w:tcW w:w="5522" w:type="dxa"/>
            <w:vAlign w:val="center"/>
          </w:tcPr>
          <w:p w14:paraId="0F322EDD">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《化妆品生产质量管理规范》第二十七条。</w:t>
            </w:r>
          </w:p>
        </w:tc>
      </w:tr>
      <w:tr w14:paraId="792F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62" w:type="dxa"/>
            <w:vMerge w:val="restart"/>
            <w:vAlign w:val="center"/>
          </w:tcPr>
          <w:p w14:paraId="7FD8B24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物料与产品管理</w:t>
            </w:r>
          </w:p>
        </w:tc>
        <w:tc>
          <w:tcPr>
            <w:tcW w:w="742" w:type="dxa"/>
            <w:vAlign w:val="center"/>
          </w:tcPr>
          <w:p w14:paraId="054E74D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51</w:t>
            </w:r>
          </w:p>
        </w:tc>
        <w:tc>
          <w:tcPr>
            <w:tcW w:w="8525" w:type="dxa"/>
            <w:vAlign w:val="center"/>
          </w:tcPr>
          <w:p w14:paraId="64C1CBA5">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企业应当建立并执行物料供应商遴选制度，对物料供应商进行审核和评价。企业应当与物料供应商签订采购合同，并在合同中明确物料验收标准和双方质量责任。</w:t>
            </w:r>
          </w:p>
          <w:p w14:paraId="0C07226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企业应当根据审核评价的结果建立合格物料供应商名录，明确关键原料供应商，并对关键原料供应商进行重点审核，必要时应当进行现场审核。</w:t>
            </w:r>
          </w:p>
        </w:tc>
        <w:tc>
          <w:tcPr>
            <w:tcW w:w="5522" w:type="dxa"/>
            <w:vAlign w:val="center"/>
          </w:tcPr>
          <w:p w14:paraId="1F56B700">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《化妆品生产质量管理规范》第二十八条。</w:t>
            </w:r>
          </w:p>
        </w:tc>
      </w:tr>
      <w:tr w14:paraId="7FC4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762" w:type="dxa"/>
            <w:vMerge w:val="continue"/>
            <w:vAlign w:val="center"/>
          </w:tcPr>
          <w:p w14:paraId="26AB4D1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11088D3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52</w:t>
            </w:r>
          </w:p>
        </w:tc>
        <w:tc>
          <w:tcPr>
            <w:tcW w:w="8525" w:type="dxa"/>
            <w:vAlign w:val="center"/>
          </w:tcPr>
          <w:p w14:paraId="3AFEE7E5">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企业应当建立并执行物料审查制度，建立原料、外购的半成品以及内包材清单，明确原料、外购的半成品成分，留存必要的原料、外购的半成品、内包材质量安全相关信息。</w:t>
            </w:r>
          </w:p>
          <w:p w14:paraId="0BA2A4EF">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在物料采购前对原料、外购的半成品、内包材实施审查，不得使用禁用原料、未经注册或者备案的新原料，不得超出使用范围、限制条件使用限用原料，确保原料、外购的半成品、内包材符合法律法规、强制性国家标准、技术规范的要求。</w:t>
            </w:r>
          </w:p>
          <w:p w14:paraId="49FBECF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化妆品原料、直接接触化妆品的包装材料应当符合强制性国家标准、技术规范。不得使用超</w:t>
            </w:r>
            <w:r>
              <w:rPr>
                <w:rFonts w:hint="eastAsia" w:ascii="方正仿宋_GBK" w:hAnsi="方正仿宋_GBK" w:eastAsia="方正仿宋_GBK" w:cs="方正仿宋_GBK"/>
                <w:bCs/>
                <w:spacing w:val="-6"/>
                <w:sz w:val="18"/>
                <w:szCs w:val="18"/>
              </w:rPr>
              <w:t>过使用期限、废弃、回收的化妆品或者化妆品原料生产化妆品。安全监测期内化妆品新原料被责令暂停使用的，化妆品注册人、备案人应当同时暂停生产、经营使用该化妆品新原料的化妆品。</w:t>
            </w:r>
          </w:p>
        </w:tc>
        <w:tc>
          <w:tcPr>
            <w:tcW w:w="5522" w:type="dxa"/>
            <w:vAlign w:val="center"/>
          </w:tcPr>
          <w:p w14:paraId="1535B0DF">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第三十条；</w:t>
            </w:r>
            <w:r>
              <w:rPr>
                <w:rFonts w:hint="eastAsia" w:ascii="方正仿宋_GBK" w:hAnsi="方正仿宋_GBK" w:eastAsia="方正仿宋_GBK" w:cs="方正仿宋_GBK"/>
                <w:bCs/>
                <w:kern w:val="0"/>
                <w:sz w:val="18"/>
                <w:szCs w:val="18"/>
                <w:lang w:bidi="ar"/>
              </w:rPr>
              <w:t>《化妆品注册备案管理办法》</w:t>
            </w:r>
            <w:r>
              <w:rPr>
                <w:rFonts w:hint="eastAsia" w:ascii="方正仿宋_GBK" w:hAnsi="方正仿宋_GBK" w:eastAsia="方正仿宋_GBK" w:cs="方正仿宋_GBK"/>
                <w:sz w:val="18"/>
                <w:szCs w:val="18"/>
              </w:rPr>
              <w:t>第二十七条；</w:t>
            </w:r>
            <w:r>
              <w:rPr>
                <w:rFonts w:hint="eastAsia" w:ascii="方正仿宋_GBK" w:hAnsi="方正仿宋_GBK" w:eastAsia="方正仿宋_GBK" w:cs="方正仿宋_GBK"/>
                <w:bCs/>
                <w:sz w:val="18"/>
                <w:szCs w:val="18"/>
              </w:rPr>
              <w:t>《化妆品生产质量管理规范》第二十九条。</w:t>
            </w:r>
          </w:p>
        </w:tc>
      </w:tr>
      <w:tr w14:paraId="2313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62" w:type="dxa"/>
            <w:vMerge w:val="restart"/>
            <w:vAlign w:val="center"/>
          </w:tcPr>
          <w:p w14:paraId="7789EFB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物料与产品管理</w:t>
            </w:r>
          </w:p>
        </w:tc>
        <w:tc>
          <w:tcPr>
            <w:tcW w:w="742" w:type="dxa"/>
            <w:vAlign w:val="center"/>
          </w:tcPr>
          <w:p w14:paraId="1AE7D1B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53</w:t>
            </w:r>
          </w:p>
        </w:tc>
        <w:tc>
          <w:tcPr>
            <w:tcW w:w="8525" w:type="dxa"/>
            <w:vAlign w:val="center"/>
          </w:tcPr>
          <w:p w14:paraId="56DB83A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建立并执行物料进货查验记录制度，建立并执行物料验收规程，明确物料验收标准和验收方法。企业应当按照物料验收规程对到货物料检验或者确认，确保实际交付的物料与采购合同、送货票证一致，并达到物料质量要求。</w:t>
            </w:r>
          </w:p>
          <w:p w14:paraId="2770A35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进货查验记录记录应当真实、完整，保证可追溯，保存期限不得少于产品使用期限期满后1年；产品使用期限不足1年的，记录保存期限不得少于2年。</w:t>
            </w:r>
          </w:p>
          <w:p w14:paraId="4DC55E0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委托生产化妆品的，原料以及直接接触化妆品的包装材料进货查验等记录可以由受托生产企业保存。</w:t>
            </w:r>
          </w:p>
          <w:p w14:paraId="1BF98F8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企业应当对关键原料留样，并保存留样记录。留样的原料应当有标签，至少包括原料中文名称或者原料代码、生产企业名称、原料规格、贮存条件、使用期限等信息，保证可追溯。留样数量应当满足原料质量检验的要求。</w:t>
            </w:r>
          </w:p>
        </w:tc>
        <w:tc>
          <w:tcPr>
            <w:tcW w:w="5522" w:type="dxa"/>
            <w:vAlign w:val="center"/>
          </w:tcPr>
          <w:p w14:paraId="1C2864D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第三十一条；</w:t>
            </w: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第三十二条；</w:t>
            </w:r>
            <w:r>
              <w:rPr>
                <w:rFonts w:hint="eastAsia" w:ascii="方正仿宋_GBK" w:hAnsi="方正仿宋_GBK" w:eastAsia="方正仿宋_GBK" w:cs="方正仿宋_GBK"/>
                <w:bCs/>
                <w:sz w:val="18"/>
                <w:szCs w:val="18"/>
              </w:rPr>
              <w:t>《化妆品生产质量管理规范》第三十条。</w:t>
            </w:r>
          </w:p>
        </w:tc>
      </w:tr>
      <w:tr w14:paraId="5773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62" w:type="dxa"/>
            <w:vMerge w:val="continue"/>
            <w:vAlign w:val="center"/>
          </w:tcPr>
          <w:p w14:paraId="1562CDD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271401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54</w:t>
            </w:r>
          </w:p>
        </w:tc>
        <w:tc>
          <w:tcPr>
            <w:tcW w:w="8525" w:type="dxa"/>
            <w:vAlign w:val="center"/>
          </w:tcPr>
          <w:p w14:paraId="581AF9F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物料和产品应当按规定的条件贮存，确保质量稳定。物料应当分类按批摆放，并明确标示。</w:t>
            </w:r>
          </w:p>
          <w:p w14:paraId="1A271F7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物料名称用代码标示的，应当制定代码对照表，原料代码应当明确对应的原料标准中文名称。</w:t>
            </w:r>
          </w:p>
        </w:tc>
        <w:tc>
          <w:tcPr>
            <w:tcW w:w="5522" w:type="dxa"/>
            <w:vAlign w:val="center"/>
          </w:tcPr>
          <w:p w14:paraId="545C8AC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《化妆品生产质量管理规范》第三十一条。</w:t>
            </w:r>
          </w:p>
        </w:tc>
      </w:tr>
      <w:tr w14:paraId="69BD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62" w:type="dxa"/>
            <w:vMerge w:val="continue"/>
            <w:vAlign w:val="center"/>
          </w:tcPr>
          <w:p w14:paraId="5F9D7FC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44761B1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55</w:t>
            </w:r>
          </w:p>
        </w:tc>
        <w:tc>
          <w:tcPr>
            <w:tcW w:w="8525" w:type="dxa"/>
            <w:vAlign w:val="center"/>
          </w:tcPr>
          <w:p w14:paraId="6CC66D0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企业应当建立并执行物料放行管理制度，确保物料放行后方可用于生产。</w:t>
            </w:r>
          </w:p>
          <w:p w14:paraId="4C7ABBE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企业应当建立并执行不合格物料处理规程。超过使用期限的物料应当按照不合格品管理。</w:t>
            </w:r>
          </w:p>
        </w:tc>
        <w:tc>
          <w:tcPr>
            <w:tcW w:w="5522" w:type="dxa"/>
            <w:vAlign w:val="center"/>
          </w:tcPr>
          <w:p w14:paraId="464396C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《化妆品生产质量管理规范》第三十二条。</w:t>
            </w:r>
          </w:p>
        </w:tc>
      </w:tr>
      <w:tr w14:paraId="0497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62" w:type="dxa"/>
            <w:vMerge w:val="continue"/>
            <w:vAlign w:val="center"/>
          </w:tcPr>
          <w:p w14:paraId="5DE495D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932B83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56</w:t>
            </w:r>
          </w:p>
        </w:tc>
        <w:tc>
          <w:tcPr>
            <w:tcW w:w="8525" w:type="dxa"/>
            <w:vAlign w:val="center"/>
          </w:tcPr>
          <w:p w14:paraId="67B42A9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企业生产用水的水质和水量应当满足生产要求，水质至少达到生活饮用水卫生标准要求。生产用水为小型集中式供水或者分散式供水的，应当由取得资质认定的检验检测机构对生产用水进行检测，每年至少一次。</w:t>
            </w:r>
          </w:p>
          <w:p w14:paraId="7A8D792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企业应当建立并执行工艺用水质量标准、工艺用水管理规程，对工艺用水水质定期监测，确保符合生产质量要求。</w:t>
            </w:r>
          </w:p>
        </w:tc>
        <w:tc>
          <w:tcPr>
            <w:tcW w:w="5522" w:type="dxa"/>
            <w:vAlign w:val="center"/>
          </w:tcPr>
          <w:p w14:paraId="65AC7EE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《化妆品生产质量管理规范》第三十三条。</w:t>
            </w:r>
          </w:p>
        </w:tc>
      </w:tr>
      <w:tr w14:paraId="6A14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762" w:type="dxa"/>
            <w:vAlign w:val="center"/>
          </w:tcPr>
          <w:p w14:paraId="12062E5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物料与产品管理</w:t>
            </w:r>
          </w:p>
        </w:tc>
        <w:tc>
          <w:tcPr>
            <w:tcW w:w="742" w:type="dxa"/>
            <w:vAlign w:val="center"/>
          </w:tcPr>
          <w:p w14:paraId="53A5A96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57</w:t>
            </w:r>
          </w:p>
        </w:tc>
        <w:tc>
          <w:tcPr>
            <w:tcW w:w="8525" w:type="dxa"/>
            <w:vAlign w:val="center"/>
          </w:tcPr>
          <w:p w14:paraId="156729E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bCs/>
                <w:spacing w:val="-10"/>
                <w:sz w:val="18"/>
                <w:szCs w:val="18"/>
              </w:rPr>
            </w:pPr>
            <w:r>
              <w:rPr>
                <w:rFonts w:hint="eastAsia" w:ascii="方正仿宋_GBK" w:hAnsi="方正仿宋_GBK" w:eastAsia="方正仿宋_GBK" w:cs="方正仿宋_GBK"/>
                <w:bCs/>
                <w:spacing w:val="-10"/>
                <w:sz w:val="18"/>
                <w:szCs w:val="18"/>
              </w:rPr>
              <w:t>产品应当符合相关法律法规、强制性国家标准、技术规范和化妆品注册、备案资料载明的技术要求。</w:t>
            </w:r>
          </w:p>
          <w:p w14:paraId="5DB3346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建立并执行标签管理制度，对产品标签进行审核确认，确保产品的标签符合相关法律法规、强制性国家标准、技术规范的要求。内包材上标注标签的生产工序应当在完成最后一道接触化妆品内容物生产工序的生产企业内完成。</w:t>
            </w:r>
          </w:p>
          <w:p w14:paraId="4640A6A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产品销售包装上标注的使用期限不得擅自更改。</w:t>
            </w:r>
          </w:p>
        </w:tc>
        <w:tc>
          <w:tcPr>
            <w:tcW w:w="5522" w:type="dxa"/>
            <w:vAlign w:val="center"/>
          </w:tcPr>
          <w:p w14:paraId="40A2D13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《化妆品监督管理条例》第二十五条；</w:t>
            </w:r>
            <w:r>
              <w:rPr>
                <w:rFonts w:hint="eastAsia" w:ascii="方正仿宋_GBK" w:hAnsi="方正仿宋_GBK" w:eastAsia="方正仿宋_GBK" w:cs="方正仿宋_GBK"/>
                <w:bCs/>
                <w:sz w:val="18"/>
                <w:szCs w:val="18"/>
              </w:rPr>
              <w:t>《化妆品生产质量管理规范》第三十四条</w:t>
            </w:r>
            <w:r>
              <w:rPr>
                <w:rFonts w:hint="eastAsia" w:ascii="方正仿宋_GBK" w:hAnsi="方正仿宋_GBK" w:eastAsia="方正仿宋_GBK" w:cs="方正仿宋_GBK"/>
                <w:bCs/>
                <w:sz w:val="18"/>
                <w:szCs w:val="18"/>
                <w:lang w:val="zh-CN"/>
              </w:rPr>
              <w:t>。</w:t>
            </w:r>
          </w:p>
        </w:tc>
      </w:tr>
      <w:tr w14:paraId="1C16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jc w:val="center"/>
        </w:trPr>
        <w:tc>
          <w:tcPr>
            <w:tcW w:w="762" w:type="dxa"/>
            <w:vAlign w:val="center"/>
          </w:tcPr>
          <w:p w14:paraId="183ECDA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标签管理</w:t>
            </w:r>
          </w:p>
        </w:tc>
        <w:tc>
          <w:tcPr>
            <w:tcW w:w="742" w:type="dxa"/>
            <w:vAlign w:val="center"/>
          </w:tcPr>
          <w:p w14:paraId="450265F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58</w:t>
            </w:r>
          </w:p>
        </w:tc>
        <w:tc>
          <w:tcPr>
            <w:tcW w:w="8525" w:type="dxa"/>
            <w:vAlign w:val="center"/>
          </w:tcPr>
          <w:p w14:paraId="155D926A">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化妆品的最小销售单元应当有</w:t>
            </w:r>
            <w:r>
              <w:rPr>
                <w:rFonts w:hint="eastAsia" w:ascii="方正仿宋_GBK" w:hAnsi="方正仿宋_GBK" w:eastAsia="方正仿宋_GBK" w:cs="方正仿宋_GBK"/>
                <w:sz w:val="18"/>
                <w:szCs w:val="18"/>
              </w:rPr>
              <w:t>中文</w:t>
            </w:r>
            <w:r>
              <w:rPr>
                <w:rFonts w:hint="eastAsia" w:ascii="方正仿宋_GBK" w:hAnsi="方正仿宋_GBK" w:eastAsia="方正仿宋_GBK" w:cs="方正仿宋_GBK"/>
                <w:kern w:val="0"/>
                <w:sz w:val="18"/>
                <w:szCs w:val="18"/>
              </w:rPr>
              <w:t>标签。</w:t>
            </w:r>
            <w:r>
              <w:rPr>
                <w:rFonts w:hint="eastAsia" w:ascii="方正仿宋_GBK" w:hAnsi="方正仿宋_GBK" w:eastAsia="方正仿宋_GBK" w:cs="方正仿宋_GBK"/>
                <w:sz w:val="18"/>
                <w:szCs w:val="18"/>
              </w:rPr>
              <w:t>应当与化妆品注册或者备案资料中产品标签样稿一致，</w:t>
            </w:r>
            <w:r>
              <w:rPr>
                <w:rFonts w:hint="eastAsia" w:ascii="方正仿宋_GBK" w:hAnsi="方正仿宋_GBK" w:eastAsia="方正仿宋_GBK" w:cs="方正仿宋_GBK"/>
                <w:kern w:val="0"/>
                <w:sz w:val="18"/>
                <w:szCs w:val="18"/>
              </w:rPr>
              <w:t>应当符合相关法律、行政法规、强制性国家标准，内容真实、完整、准确。</w:t>
            </w:r>
          </w:p>
          <w:p w14:paraId="5E50C327">
            <w:pPr>
              <w:pStyle w:val="3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化妆品标签应当标注下列内容：（一）产品名称、特殊化妆品注册证编号；（二）注册人、备案人、受托生产企业的名称、地址；（三）化妆品生产许可证编号；（四）产品执行的标准编号；（五）全成分；（六）净含量；（七）使用期限、使用方法以及必要的安全警示；（八）法律、行政法规和强制性国家标准规定应当标注的其他内容。</w:t>
            </w:r>
          </w:p>
          <w:p w14:paraId="39163657">
            <w:pPr>
              <w:pStyle w:val="3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化妆品的名称、成分、功效等标签标注的事项应当真实、合法，化妆品名称使用商标的，还应当符合国家有关商标管理的法律法规规定。</w:t>
            </w:r>
          </w:p>
          <w:p w14:paraId="536E5ED3">
            <w:pPr>
              <w:pStyle w:val="3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化妆品标签禁止标注下列内容：（一）明示或者暗示具有医疗作用的内容；（二）虚假或者引人误解的内容；（三）违反社会公序良俗的内容；（四）法律、行政法规禁止标注的其他内容。</w:t>
            </w:r>
          </w:p>
          <w:p w14:paraId="7CA39EB1">
            <w:pPr>
              <w:pStyle w:val="3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供儿童使用的化妆品应当按照国家药品监督管理局的规定在产品标签上进行标注。</w:t>
            </w:r>
          </w:p>
        </w:tc>
        <w:tc>
          <w:tcPr>
            <w:tcW w:w="5522" w:type="dxa"/>
            <w:vAlign w:val="center"/>
          </w:tcPr>
          <w:p w14:paraId="73520E1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第三十五条</w:t>
            </w:r>
            <w:r>
              <w:rPr>
                <w:rFonts w:hint="eastAsia" w:ascii="方正仿宋_GBK" w:hAnsi="方正仿宋_GBK" w:eastAsia="方正仿宋_GBK" w:cs="方正仿宋_GBK"/>
                <w:kern w:val="0"/>
                <w:sz w:val="18"/>
                <w:szCs w:val="18"/>
                <w:lang w:eastAsia="zh-CN"/>
              </w:rPr>
              <w:t>、</w:t>
            </w:r>
            <w:r>
              <w:rPr>
                <w:rFonts w:hint="eastAsia" w:ascii="方正仿宋_GBK" w:hAnsi="方正仿宋_GBK" w:eastAsia="方正仿宋_GBK" w:cs="方正仿宋_GBK"/>
                <w:kern w:val="0"/>
                <w:sz w:val="18"/>
                <w:szCs w:val="18"/>
              </w:rPr>
              <w:t>第三十六条</w:t>
            </w:r>
            <w:r>
              <w:rPr>
                <w:rFonts w:hint="eastAsia" w:ascii="方正仿宋_GBK" w:hAnsi="方正仿宋_GBK" w:eastAsia="方正仿宋_GBK" w:cs="方正仿宋_GBK"/>
                <w:kern w:val="0"/>
                <w:sz w:val="18"/>
                <w:szCs w:val="18"/>
                <w:lang w:eastAsia="zh-CN"/>
              </w:rPr>
              <w:t>、</w:t>
            </w:r>
            <w:r>
              <w:rPr>
                <w:rFonts w:hint="eastAsia" w:ascii="方正仿宋_GBK" w:hAnsi="方正仿宋_GBK" w:eastAsia="方正仿宋_GBK" w:cs="方正仿宋_GBK"/>
                <w:kern w:val="0"/>
                <w:sz w:val="18"/>
                <w:szCs w:val="18"/>
              </w:rPr>
              <w:t>第三十七条；</w:t>
            </w: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第三十五条</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第三十六条</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第三十八条。</w:t>
            </w:r>
          </w:p>
        </w:tc>
      </w:tr>
      <w:tr w14:paraId="6BB1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62" w:type="dxa"/>
            <w:vMerge w:val="restart"/>
            <w:vAlign w:val="center"/>
          </w:tcPr>
          <w:p w14:paraId="1AC8F53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生产过程管理</w:t>
            </w:r>
          </w:p>
        </w:tc>
        <w:tc>
          <w:tcPr>
            <w:tcW w:w="742" w:type="dxa"/>
            <w:vAlign w:val="center"/>
          </w:tcPr>
          <w:p w14:paraId="7051153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59</w:t>
            </w:r>
          </w:p>
        </w:tc>
        <w:tc>
          <w:tcPr>
            <w:tcW w:w="8525" w:type="dxa"/>
            <w:vAlign w:val="center"/>
          </w:tcPr>
          <w:p w14:paraId="67BF465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企业应当建立并执行与生产的化妆品品种、数量和生产许可项目等相适应的生产管理制度。</w:t>
            </w:r>
          </w:p>
        </w:tc>
        <w:tc>
          <w:tcPr>
            <w:tcW w:w="5522" w:type="dxa"/>
            <w:vAlign w:val="center"/>
          </w:tcPr>
          <w:p w14:paraId="7DDE4DD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《化妆品生产质量管理规范》第三十五条。</w:t>
            </w:r>
          </w:p>
        </w:tc>
      </w:tr>
      <w:tr w14:paraId="37BC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762" w:type="dxa"/>
            <w:vMerge w:val="continue"/>
            <w:vAlign w:val="center"/>
          </w:tcPr>
          <w:p w14:paraId="43C723D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631A079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60</w:t>
            </w:r>
          </w:p>
        </w:tc>
        <w:tc>
          <w:tcPr>
            <w:tcW w:w="8525" w:type="dxa"/>
            <w:vAlign w:val="center"/>
          </w:tcPr>
          <w:p w14:paraId="5FC46DA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企业</w:t>
            </w:r>
            <w:r>
              <w:rPr>
                <w:rFonts w:hint="eastAsia" w:ascii="方正仿宋_GBK" w:hAnsi="方正仿宋_GBK" w:eastAsia="方正仿宋_GBK" w:cs="方正仿宋_GBK"/>
                <w:kern w:val="0"/>
                <w:sz w:val="18"/>
                <w:szCs w:val="18"/>
              </w:rPr>
              <w:t>应当按照化妆品注册或者备案资料载明的技术要求生产化妆品。</w:t>
            </w:r>
            <w:r>
              <w:rPr>
                <w:rFonts w:hint="eastAsia" w:ascii="方正仿宋_GBK" w:hAnsi="方正仿宋_GBK" w:eastAsia="方正仿宋_GBK" w:cs="方正仿宋_GBK"/>
                <w:bCs/>
                <w:sz w:val="18"/>
                <w:szCs w:val="18"/>
              </w:rPr>
              <w:t>应当按照化妆品注册、备案资料载明的技术要求建立并执行产品生产工艺规程和岗位操作规程，确保按照化妆品注册、备案资料载明的技术要求生产产品。企业应当明确生产工艺参数及工艺过程的关键控制点，主要生产工艺应当经过验证，确保能够持续稳定地生产出合格的产品。</w:t>
            </w:r>
          </w:p>
        </w:tc>
        <w:tc>
          <w:tcPr>
            <w:tcW w:w="5522" w:type="dxa"/>
            <w:vAlign w:val="center"/>
          </w:tcPr>
          <w:p w14:paraId="2FBB988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第二十九条；</w:t>
            </w:r>
            <w:r>
              <w:rPr>
                <w:rFonts w:hint="eastAsia" w:ascii="方正仿宋_GBK" w:hAnsi="方正仿宋_GBK" w:eastAsia="方正仿宋_GBK" w:cs="方正仿宋_GBK"/>
                <w:bCs/>
                <w:sz w:val="18"/>
                <w:szCs w:val="18"/>
              </w:rPr>
              <w:t>《化妆品生产质量管理规范》第三十六条。</w:t>
            </w:r>
          </w:p>
        </w:tc>
      </w:tr>
      <w:tr w14:paraId="15CB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762" w:type="dxa"/>
            <w:vMerge w:val="continue"/>
            <w:vAlign w:val="center"/>
          </w:tcPr>
          <w:p w14:paraId="729A7F3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8C1A30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61</w:t>
            </w:r>
          </w:p>
        </w:tc>
        <w:tc>
          <w:tcPr>
            <w:tcW w:w="8525" w:type="dxa"/>
            <w:vAlign w:val="center"/>
          </w:tcPr>
          <w:p w14:paraId="2D9CE94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企业应当根据生产计划下达生产指令。生产指令应当包括产品名称、生产批号（或者与生产批号可关联的唯一标识符号）、产品配方、生产总量、生产时间等内容。</w:t>
            </w:r>
          </w:p>
          <w:p w14:paraId="5C5A4B3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生产部门应当根据生产指令进行生产。领料人应当核对所领用物料的包装、标签信息等，填写领料单据。</w:t>
            </w:r>
          </w:p>
        </w:tc>
        <w:tc>
          <w:tcPr>
            <w:tcW w:w="5522" w:type="dxa"/>
            <w:vAlign w:val="center"/>
          </w:tcPr>
          <w:p w14:paraId="531EF61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《化妆品生产质量管理规范》第三十七条。</w:t>
            </w:r>
          </w:p>
        </w:tc>
      </w:tr>
      <w:tr w14:paraId="2F01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62" w:type="dxa"/>
            <w:vMerge w:val="continue"/>
            <w:vAlign w:val="center"/>
          </w:tcPr>
          <w:p w14:paraId="174C070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DAF2C6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62</w:t>
            </w:r>
          </w:p>
        </w:tc>
        <w:tc>
          <w:tcPr>
            <w:tcW w:w="8525" w:type="dxa"/>
            <w:vAlign w:val="center"/>
          </w:tcPr>
          <w:p w14:paraId="23C4808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企业应当在生产开始前对生产车间、设备、器具和物料进行确认，确保其符合生产要求。</w:t>
            </w:r>
          </w:p>
          <w:p w14:paraId="1B198BD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企业在使用内包材前，应当按照清洁消毒操作规程进行清洁消毒，或者对其卫生符合性进行确认。</w:t>
            </w:r>
          </w:p>
        </w:tc>
        <w:tc>
          <w:tcPr>
            <w:tcW w:w="5522" w:type="dxa"/>
            <w:vAlign w:val="center"/>
          </w:tcPr>
          <w:p w14:paraId="78DF1C1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《化妆品生产质量管理规范》第三十八条。</w:t>
            </w:r>
          </w:p>
        </w:tc>
      </w:tr>
      <w:tr w14:paraId="441F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62" w:type="dxa"/>
            <w:vMerge w:val="continue"/>
            <w:vAlign w:val="center"/>
          </w:tcPr>
          <w:p w14:paraId="5403588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1654AF6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63</w:t>
            </w:r>
          </w:p>
        </w:tc>
        <w:tc>
          <w:tcPr>
            <w:tcW w:w="8525" w:type="dxa"/>
            <w:vAlign w:val="center"/>
          </w:tcPr>
          <w:p w14:paraId="573760B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企业应当对生产过程使用的物料以及半成品全程清晰标识，标明名称或者代码、生产日期或者批号、数量，并可追溯。</w:t>
            </w:r>
          </w:p>
        </w:tc>
        <w:tc>
          <w:tcPr>
            <w:tcW w:w="5522" w:type="dxa"/>
            <w:vAlign w:val="center"/>
          </w:tcPr>
          <w:p w14:paraId="3B1513A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《化妆品生产质量管理规范》第三十九条。</w:t>
            </w:r>
          </w:p>
        </w:tc>
      </w:tr>
      <w:tr w14:paraId="1C25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62" w:type="dxa"/>
            <w:vMerge w:val="continue"/>
            <w:vAlign w:val="center"/>
          </w:tcPr>
          <w:p w14:paraId="727C9CC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7FC3CD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64</w:t>
            </w:r>
          </w:p>
        </w:tc>
        <w:tc>
          <w:tcPr>
            <w:tcW w:w="8525" w:type="dxa"/>
            <w:vAlign w:val="center"/>
          </w:tcPr>
          <w:p w14:paraId="4B379C2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企业应当对生产过程按照生产工艺规程和岗位操作规程进行控制，应当真实、完整、准确地填写生产记录。</w:t>
            </w:r>
          </w:p>
          <w:p w14:paraId="10727E1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生产记录应当至少包括生产指令、领料、称量、配制、填充或者灌装、包装、产品检验以及放行等内容。</w:t>
            </w:r>
          </w:p>
        </w:tc>
        <w:tc>
          <w:tcPr>
            <w:tcW w:w="5522" w:type="dxa"/>
            <w:vAlign w:val="center"/>
          </w:tcPr>
          <w:p w14:paraId="73450BA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《化妆品生产质量管理规范》第四十条。</w:t>
            </w:r>
          </w:p>
        </w:tc>
      </w:tr>
      <w:tr w14:paraId="3E7A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62" w:type="dxa"/>
            <w:vMerge w:val="restart"/>
            <w:vAlign w:val="center"/>
          </w:tcPr>
          <w:p w14:paraId="69A9EFD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生产过程管理</w:t>
            </w:r>
          </w:p>
        </w:tc>
        <w:tc>
          <w:tcPr>
            <w:tcW w:w="742" w:type="dxa"/>
            <w:vAlign w:val="center"/>
          </w:tcPr>
          <w:p w14:paraId="16A25E9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65</w:t>
            </w:r>
          </w:p>
        </w:tc>
        <w:tc>
          <w:tcPr>
            <w:tcW w:w="8525" w:type="dxa"/>
            <w:vAlign w:val="center"/>
          </w:tcPr>
          <w:p w14:paraId="402DB9B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企业应当在生产后检查物料平衡，确认物料平衡符合生产工艺规程设定的限度范围。超出限度范围时，应当查明原因，确认无潜在质量风险后，方可进入下一工序。</w:t>
            </w:r>
          </w:p>
        </w:tc>
        <w:tc>
          <w:tcPr>
            <w:tcW w:w="5522" w:type="dxa"/>
            <w:vAlign w:val="center"/>
          </w:tcPr>
          <w:p w14:paraId="690D077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《化妆品生产质量管理规范》第四十一条。</w:t>
            </w:r>
          </w:p>
        </w:tc>
      </w:tr>
      <w:tr w14:paraId="4072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62" w:type="dxa"/>
            <w:vMerge w:val="continue"/>
            <w:vAlign w:val="center"/>
          </w:tcPr>
          <w:p w14:paraId="4967671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0FC5530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66</w:t>
            </w:r>
          </w:p>
        </w:tc>
        <w:tc>
          <w:tcPr>
            <w:tcW w:w="8525" w:type="dxa"/>
            <w:vAlign w:val="center"/>
          </w:tcPr>
          <w:p w14:paraId="48949F4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企业应当在生产后及时清场，对生产车间和生产设备、管道、容器、器具等按照操作规程进行清洁消毒并记录。清洁消毒完成后，应当清晰标识，并按照规定注明有效期限。</w:t>
            </w:r>
          </w:p>
        </w:tc>
        <w:tc>
          <w:tcPr>
            <w:tcW w:w="5522" w:type="dxa"/>
            <w:vAlign w:val="center"/>
          </w:tcPr>
          <w:p w14:paraId="6585841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《化妆品生产质量管理规范》第四十二条。</w:t>
            </w:r>
          </w:p>
        </w:tc>
      </w:tr>
      <w:tr w14:paraId="445C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62" w:type="dxa"/>
            <w:vMerge w:val="continue"/>
            <w:vAlign w:val="center"/>
          </w:tcPr>
          <w:p w14:paraId="735BA40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578A279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67</w:t>
            </w:r>
          </w:p>
        </w:tc>
        <w:tc>
          <w:tcPr>
            <w:tcW w:w="8525" w:type="dxa"/>
            <w:vAlign w:val="center"/>
          </w:tcPr>
          <w:p w14:paraId="0DAD948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企业应当将生产结存物料及时退回仓库。退仓物料应当密封并做好标识，必要时重新包装。仓库管理人员应当按照退料单据核对退仓物料的名称或者代码、生产日期或者批号、数量等。</w:t>
            </w:r>
          </w:p>
        </w:tc>
        <w:tc>
          <w:tcPr>
            <w:tcW w:w="5522" w:type="dxa"/>
            <w:vAlign w:val="center"/>
          </w:tcPr>
          <w:p w14:paraId="30060D5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《化妆品生产质量管理规范》第四十三条。</w:t>
            </w:r>
          </w:p>
        </w:tc>
      </w:tr>
      <w:tr w14:paraId="568F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62" w:type="dxa"/>
            <w:vMerge w:val="continue"/>
            <w:vAlign w:val="center"/>
          </w:tcPr>
          <w:p w14:paraId="5B89D0D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396E496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68</w:t>
            </w:r>
          </w:p>
        </w:tc>
        <w:tc>
          <w:tcPr>
            <w:tcW w:w="8525" w:type="dxa"/>
            <w:vAlign w:val="center"/>
          </w:tcPr>
          <w:p w14:paraId="3126E83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企业应当建立并执行不合格品管理制度，及时分析不合格原因。企业应当编制返工控制文件，不合格品经评估确认能够返工的，方可返工。不合格品的销毁、返工等处理措施应当经质量管理部门批准并记录。</w:t>
            </w:r>
          </w:p>
          <w:p w14:paraId="0716145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企业应当对半成品的使用期限做出规定，超过使用期限未填充或者灌装的，应当及时按照不合格品处理。</w:t>
            </w:r>
          </w:p>
        </w:tc>
        <w:tc>
          <w:tcPr>
            <w:tcW w:w="5522" w:type="dxa"/>
            <w:vAlign w:val="center"/>
          </w:tcPr>
          <w:p w14:paraId="029AC3D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《化妆品生产质量管理规范》第四十四条。</w:t>
            </w:r>
          </w:p>
        </w:tc>
      </w:tr>
      <w:tr w14:paraId="4D8F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762" w:type="dxa"/>
            <w:vMerge w:val="continue"/>
            <w:vAlign w:val="center"/>
          </w:tcPr>
          <w:p w14:paraId="53AA515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279D19C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69</w:t>
            </w:r>
          </w:p>
        </w:tc>
        <w:tc>
          <w:tcPr>
            <w:tcW w:w="8525" w:type="dxa"/>
            <w:vAlign w:val="center"/>
          </w:tcPr>
          <w:p w14:paraId="4521E49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化妆品经出厂检验合格后方可上市销售。</w:t>
            </w:r>
          </w:p>
          <w:p w14:paraId="272BD9F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企业应当建立并执行产品放行管理制度，确保产品经检验合格且相关生产和质量活动记录经审核批准后，方可放行。</w:t>
            </w:r>
          </w:p>
          <w:p w14:paraId="2A88089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上市销售的化妆品应当附有出厂检验报告或者合格标记等形式的产品质量检验合格证明。</w:t>
            </w:r>
          </w:p>
        </w:tc>
        <w:tc>
          <w:tcPr>
            <w:tcW w:w="5522" w:type="dxa"/>
            <w:vAlign w:val="center"/>
          </w:tcPr>
          <w:p w14:paraId="593D5F2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第三十一条；</w:t>
            </w:r>
            <w:r>
              <w:rPr>
                <w:rFonts w:hint="eastAsia" w:ascii="方正仿宋_GBK" w:hAnsi="方正仿宋_GBK" w:eastAsia="方正仿宋_GBK" w:cs="方正仿宋_GBK"/>
                <w:bCs/>
                <w:sz w:val="18"/>
                <w:szCs w:val="18"/>
              </w:rPr>
              <w:t>《化妆品生产质量管理规范》第四十五条。</w:t>
            </w:r>
          </w:p>
        </w:tc>
      </w:tr>
      <w:tr w14:paraId="5F08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62" w:type="dxa"/>
            <w:vMerge w:val="continue"/>
            <w:vAlign w:val="center"/>
          </w:tcPr>
          <w:p w14:paraId="3C1DF81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9A2D2D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70</w:t>
            </w:r>
          </w:p>
        </w:tc>
        <w:tc>
          <w:tcPr>
            <w:tcW w:w="8525" w:type="dxa"/>
            <w:vAlign w:val="center"/>
          </w:tcPr>
          <w:p w14:paraId="2FE5C5C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配制、填充、灌装化妆品内容物，应当取得化妆品生产许可证。标注标签的生产工序，应当在完成最后一道接触化妆品内容物生产工序的化妆品生产企业内完成。</w:t>
            </w:r>
          </w:p>
        </w:tc>
        <w:tc>
          <w:tcPr>
            <w:tcW w:w="5522" w:type="dxa"/>
            <w:vAlign w:val="center"/>
          </w:tcPr>
          <w:p w14:paraId="41A124D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第六十三条。</w:t>
            </w:r>
          </w:p>
        </w:tc>
      </w:tr>
      <w:tr w14:paraId="07F2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762" w:type="dxa"/>
            <w:vMerge w:val="restart"/>
            <w:vAlign w:val="center"/>
          </w:tcPr>
          <w:p w14:paraId="4E3D03B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产品销售管理</w:t>
            </w:r>
          </w:p>
        </w:tc>
        <w:tc>
          <w:tcPr>
            <w:tcW w:w="742" w:type="dxa"/>
            <w:vAlign w:val="center"/>
          </w:tcPr>
          <w:p w14:paraId="730D997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71</w:t>
            </w:r>
          </w:p>
        </w:tc>
        <w:tc>
          <w:tcPr>
            <w:tcW w:w="8525" w:type="dxa"/>
            <w:vAlign w:val="center"/>
          </w:tcPr>
          <w:p w14:paraId="2735259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企业应当建立并执行产品销售记录制度，并确保所销售产品的出货单据、销售记录与货品实物一致。</w:t>
            </w:r>
          </w:p>
          <w:p w14:paraId="25777C6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产品销售记录应当至少包括产品名称、特殊化妆品注册证编号或者普通化妆品备案编号、使用期限、净含量、数量、销售日期、价格，以及购买者名称、地址和联系方式等内容。</w:t>
            </w:r>
          </w:p>
          <w:p w14:paraId="181C874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记录应当真实、完整，保证可追溯，保存期限不得少于产品使用期限期满后1年；产品使用期限不足1年的，记录保存期限不得少于2年。</w:t>
            </w:r>
          </w:p>
        </w:tc>
        <w:tc>
          <w:tcPr>
            <w:tcW w:w="5522" w:type="dxa"/>
            <w:vAlign w:val="center"/>
          </w:tcPr>
          <w:p w14:paraId="4434C5C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《化妆品生产经营监督管理办法》</w:t>
            </w:r>
            <w:r>
              <w:rPr>
                <w:rFonts w:hint="eastAsia" w:ascii="方正仿宋_GBK" w:hAnsi="方正仿宋_GBK" w:eastAsia="方正仿宋_GBK" w:cs="方正仿宋_GBK"/>
                <w:sz w:val="18"/>
                <w:szCs w:val="18"/>
              </w:rPr>
              <w:t>第三十二条；</w:t>
            </w:r>
            <w:r>
              <w:rPr>
                <w:rFonts w:hint="eastAsia" w:ascii="方正仿宋_GBK" w:hAnsi="方正仿宋_GBK" w:eastAsia="方正仿宋_GBK" w:cs="方正仿宋_GBK"/>
                <w:bCs/>
                <w:sz w:val="18"/>
                <w:szCs w:val="18"/>
              </w:rPr>
              <w:t>《化妆品生产质量管理规范》第五十八条。</w:t>
            </w:r>
          </w:p>
        </w:tc>
      </w:tr>
      <w:tr w14:paraId="0BAF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62" w:type="dxa"/>
            <w:vMerge w:val="continue"/>
            <w:vAlign w:val="center"/>
          </w:tcPr>
          <w:p w14:paraId="460BB1E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575538D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72</w:t>
            </w:r>
          </w:p>
        </w:tc>
        <w:tc>
          <w:tcPr>
            <w:tcW w:w="8525" w:type="dxa"/>
            <w:vAlign w:val="center"/>
          </w:tcPr>
          <w:p w14:paraId="7FD2F5D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注册人、备案人、受托生产企业应当建立并执行产品贮存和运输管理制度。依照有关法律法规的规定和产品标签标示的要求贮存、运输产品，定期检查并且及时处理变质或者超过使用期限等质量异常的产品。</w:t>
            </w:r>
          </w:p>
        </w:tc>
        <w:tc>
          <w:tcPr>
            <w:tcW w:w="5522" w:type="dxa"/>
            <w:vAlign w:val="center"/>
          </w:tcPr>
          <w:p w14:paraId="1D2C86D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第三十九条；</w:t>
            </w:r>
            <w:r>
              <w:rPr>
                <w:rFonts w:hint="eastAsia" w:ascii="方正仿宋_GBK" w:hAnsi="方正仿宋_GBK" w:eastAsia="方正仿宋_GBK" w:cs="方正仿宋_GBK"/>
                <w:bCs/>
                <w:sz w:val="18"/>
                <w:szCs w:val="18"/>
              </w:rPr>
              <w:t>《化妆品生产质量管理规范》第五十九条。</w:t>
            </w:r>
          </w:p>
        </w:tc>
      </w:tr>
      <w:tr w14:paraId="4898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62" w:type="dxa"/>
            <w:vMerge w:val="continue"/>
            <w:vAlign w:val="center"/>
          </w:tcPr>
          <w:p w14:paraId="024E2E0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6DC4856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73</w:t>
            </w:r>
          </w:p>
        </w:tc>
        <w:tc>
          <w:tcPr>
            <w:tcW w:w="8525" w:type="dxa"/>
            <w:vAlign w:val="center"/>
          </w:tcPr>
          <w:p w14:paraId="1335D55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化妆品注册人、备案人、受托生产企业应当建立并执行退货记录制度。</w:t>
            </w:r>
          </w:p>
          <w:p w14:paraId="5432EBF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退货记录内容应当包括退货单位、产品名称、净含量、使用期限、数量、退货原因以及处理结果等内容。</w:t>
            </w:r>
          </w:p>
        </w:tc>
        <w:tc>
          <w:tcPr>
            <w:tcW w:w="5522" w:type="dxa"/>
            <w:vAlign w:val="center"/>
          </w:tcPr>
          <w:p w14:paraId="2471CDB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《化妆品生产质量管理规范》第六十条。</w:t>
            </w:r>
          </w:p>
        </w:tc>
      </w:tr>
      <w:tr w14:paraId="5818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62" w:type="dxa"/>
            <w:vMerge w:val="continue"/>
            <w:vAlign w:val="center"/>
          </w:tcPr>
          <w:p w14:paraId="1792EEC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B7E586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74</w:t>
            </w:r>
          </w:p>
        </w:tc>
        <w:tc>
          <w:tcPr>
            <w:tcW w:w="8525" w:type="dxa"/>
            <w:vAlign w:val="center"/>
          </w:tcPr>
          <w:p w14:paraId="6600388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化妆品注册人、备案人、受托生产企业应当建立并执行产品质量投诉管理制度，指定人员负责处理产品质量投诉并记录。质量管理部门应当对投诉内容进行分析评估，并提升产品质量。</w:t>
            </w:r>
          </w:p>
        </w:tc>
        <w:tc>
          <w:tcPr>
            <w:tcW w:w="5522" w:type="dxa"/>
            <w:vAlign w:val="center"/>
          </w:tcPr>
          <w:p w14:paraId="30B5BCB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《化妆品生产质量管理规范》第六十一条。</w:t>
            </w:r>
          </w:p>
        </w:tc>
      </w:tr>
      <w:tr w14:paraId="6C29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762" w:type="dxa"/>
            <w:vMerge w:val="continue"/>
            <w:vAlign w:val="center"/>
          </w:tcPr>
          <w:p w14:paraId="0856783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6B5381A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75</w:t>
            </w:r>
          </w:p>
        </w:tc>
        <w:tc>
          <w:tcPr>
            <w:tcW w:w="8525" w:type="dxa"/>
            <w:vAlign w:val="center"/>
          </w:tcPr>
          <w:p w14:paraId="5BD5087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化妆品注册人、备案人应当建立并实施</w:t>
            </w:r>
            <w:r>
              <w:rPr>
                <w:rFonts w:hint="eastAsia" w:ascii="方正仿宋_GBK" w:hAnsi="方正仿宋_GBK" w:eastAsia="方正仿宋_GBK" w:cs="方正仿宋_GBK"/>
                <w:sz w:val="18"/>
                <w:szCs w:val="18"/>
              </w:rPr>
              <w:t>化妆品不良反应监测和评价体系。</w:t>
            </w:r>
            <w:r>
              <w:rPr>
                <w:rFonts w:hint="eastAsia" w:ascii="方正仿宋_GBK" w:hAnsi="方正仿宋_GBK" w:eastAsia="方正仿宋_GBK" w:cs="方正仿宋_GBK"/>
                <w:kern w:val="0"/>
                <w:sz w:val="18"/>
                <w:szCs w:val="18"/>
              </w:rPr>
              <w:t>应当监测其上市销售化妆品的不良反应，及时开展评价，按照国务院药品监督管理部门的规定向化妆品不良反应监测机构报告。</w:t>
            </w:r>
            <w:r>
              <w:rPr>
                <w:rFonts w:hint="eastAsia" w:ascii="方正仿宋_GBK" w:hAnsi="方正仿宋_GBK" w:eastAsia="方正仿宋_GBK" w:cs="方正仿宋_GBK"/>
                <w:bCs/>
                <w:sz w:val="18"/>
                <w:szCs w:val="18"/>
              </w:rPr>
              <w:t>受托生产企业应当</w:t>
            </w:r>
            <w:r>
              <w:rPr>
                <w:rFonts w:hint="eastAsia" w:ascii="方正仿宋_GBK" w:hAnsi="方正仿宋_GBK" w:eastAsia="方正仿宋_GBK" w:cs="方正仿宋_GBK"/>
                <w:sz w:val="18"/>
                <w:szCs w:val="18"/>
              </w:rPr>
              <w:t>建立并执行化妆品不良反应监测制度</w:t>
            </w:r>
            <w:r>
              <w:rPr>
                <w:rFonts w:hint="eastAsia" w:ascii="方正仿宋_GBK" w:hAnsi="方正仿宋_GBK" w:eastAsia="方正仿宋_GBK" w:cs="方正仿宋_GBK"/>
                <w:bCs/>
                <w:sz w:val="18"/>
                <w:szCs w:val="18"/>
              </w:rPr>
              <w:t>。</w:t>
            </w:r>
          </w:p>
          <w:p w14:paraId="71315C0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rPr>
              <w:t>化妆品注册人、备案人、受托生产企业应当配备与其生产化妆品品种、数量相适应的机构和人员，</w:t>
            </w:r>
            <w:r>
              <w:rPr>
                <w:rFonts w:hint="eastAsia" w:ascii="方正仿宋_GBK" w:hAnsi="方正仿宋_GBK" w:eastAsia="方正仿宋_GBK" w:cs="方正仿宋_GBK"/>
                <w:bCs/>
                <w:sz w:val="18"/>
                <w:szCs w:val="18"/>
              </w:rPr>
              <w:t>按规定开展不良反应监测工作，并形成监测记录</w:t>
            </w:r>
            <w:r>
              <w:rPr>
                <w:rFonts w:hint="eastAsia" w:ascii="方正仿宋_GBK" w:hAnsi="方正仿宋_GBK" w:eastAsia="方正仿宋_GBK" w:cs="方正仿宋_GBK"/>
                <w:sz w:val="18"/>
                <w:szCs w:val="18"/>
              </w:rPr>
              <w:t>。</w:t>
            </w:r>
          </w:p>
        </w:tc>
        <w:tc>
          <w:tcPr>
            <w:tcW w:w="5522" w:type="dxa"/>
            <w:vAlign w:val="center"/>
          </w:tcPr>
          <w:p w14:paraId="4705894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第五十二条；</w:t>
            </w:r>
            <w:r>
              <w:rPr>
                <w:rFonts w:hint="eastAsia" w:ascii="方正仿宋_GBK" w:hAnsi="方正仿宋_GBK" w:eastAsia="方正仿宋_GBK" w:cs="方正仿宋_GBK"/>
                <w:bCs/>
                <w:sz w:val="18"/>
                <w:szCs w:val="18"/>
              </w:rPr>
              <w:t>《化妆品生产质量管理规范》第六十二条。</w:t>
            </w:r>
          </w:p>
        </w:tc>
      </w:tr>
      <w:tr w14:paraId="3BCA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9" w:hRule="atLeast"/>
          <w:jc w:val="center"/>
        </w:trPr>
        <w:tc>
          <w:tcPr>
            <w:tcW w:w="762" w:type="dxa"/>
            <w:vMerge w:val="restart"/>
            <w:vAlign w:val="center"/>
          </w:tcPr>
          <w:p w14:paraId="7BB9CC5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产品销售管理</w:t>
            </w:r>
          </w:p>
        </w:tc>
        <w:tc>
          <w:tcPr>
            <w:tcW w:w="742" w:type="dxa"/>
            <w:vAlign w:val="center"/>
          </w:tcPr>
          <w:p w14:paraId="2B1E617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76</w:t>
            </w:r>
          </w:p>
        </w:tc>
        <w:tc>
          <w:tcPr>
            <w:tcW w:w="8525" w:type="dxa"/>
            <w:vAlign w:val="center"/>
          </w:tcPr>
          <w:p w14:paraId="1E3AB06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化妆品注册人、备案人应当建立并执行产品召回管理制度，依法实施召回工作。发现产品存在质量缺陷或者其他问题，可能危害人体健康的，应当立即停止生产，召回已经上市销售的产品，通知相关化妆品经营者和消费者停止经营、使用，记录召回和通知情况。对召回的产品，应当清晰标识、单独存放，并视情况采取补救、无害化处理、销毁等措施。因产品质量问题实施的化妆品召回和处理情况，化妆品注册人、备案人应当及时向所在地省、自治区、直辖市药品监督管理部门报告。</w:t>
            </w:r>
          </w:p>
          <w:p w14:paraId="4DAB91B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受托生产企业应当建立并执行产品配合召回制度。发现其生产的产品有第一款规定情形的，应当立即停止生产，并通知相关化妆品注册人、备案人。化妆品注册人、备案人实施召回的，受托生产企业应当予以配合。</w:t>
            </w:r>
          </w:p>
          <w:p w14:paraId="455C9AC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召回记录内容应当至少包括产品名称、净含量、使用期限、召回数量、实际召回数量、召回原因、召回时间、处理结果、向监管部门报告情况等。</w:t>
            </w:r>
          </w:p>
        </w:tc>
        <w:tc>
          <w:tcPr>
            <w:tcW w:w="5522" w:type="dxa"/>
            <w:vAlign w:val="center"/>
          </w:tcPr>
          <w:p w14:paraId="5BB0BDF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《化妆品监督管理条例》</w:t>
            </w:r>
            <w:r>
              <w:rPr>
                <w:rFonts w:hint="eastAsia" w:ascii="方正仿宋_GBK" w:hAnsi="方正仿宋_GBK" w:eastAsia="方正仿宋_GBK" w:cs="方正仿宋_GBK"/>
                <w:kern w:val="0"/>
                <w:sz w:val="18"/>
                <w:szCs w:val="18"/>
              </w:rPr>
              <w:t>第四十四条；</w:t>
            </w:r>
            <w:r>
              <w:rPr>
                <w:rFonts w:hint="eastAsia" w:ascii="方正仿宋_GBK" w:hAnsi="方正仿宋_GBK" w:eastAsia="方正仿宋_GBK" w:cs="方正仿宋_GBK"/>
                <w:bCs/>
                <w:sz w:val="18"/>
                <w:szCs w:val="18"/>
              </w:rPr>
              <w:t>《化妆品生产质量管理规范》第六十三条。</w:t>
            </w:r>
          </w:p>
        </w:tc>
      </w:tr>
      <w:tr w14:paraId="519E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762" w:type="dxa"/>
            <w:vMerge w:val="continue"/>
            <w:vAlign w:val="center"/>
          </w:tcPr>
          <w:p w14:paraId="5AC87D5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42" w:type="dxa"/>
            <w:vAlign w:val="center"/>
          </w:tcPr>
          <w:p w14:paraId="7E69D71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kern w:val="0"/>
                <w:sz w:val="18"/>
                <w:szCs w:val="18"/>
                <w:lang w:bidi="ar"/>
              </w:rPr>
              <w:t>77</w:t>
            </w:r>
          </w:p>
        </w:tc>
        <w:tc>
          <w:tcPr>
            <w:tcW w:w="8525" w:type="dxa"/>
            <w:vAlign w:val="center"/>
          </w:tcPr>
          <w:p w14:paraId="3E3FC70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lang w:val="zh-CN"/>
              </w:rPr>
              <w:t>仅</w:t>
            </w:r>
            <w:r>
              <w:rPr>
                <w:rFonts w:hint="eastAsia" w:ascii="方正仿宋_GBK" w:hAnsi="方正仿宋_GBK" w:eastAsia="方正仿宋_GBK" w:cs="方正仿宋_GBK"/>
                <w:bCs/>
                <w:sz w:val="18"/>
                <w:szCs w:val="18"/>
              </w:rPr>
              <w:t>从事半成品配制的化妆品注册人、备案人以及受托生产企业应当按照《化妆品生产质量管理规范》要求组织生产。其出厂的产品标注的标签应当至少包括产品名称、企业名称、规格、贮存条件、使用期限等信息。</w:t>
            </w:r>
          </w:p>
        </w:tc>
        <w:tc>
          <w:tcPr>
            <w:tcW w:w="5522" w:type="dxa"/>
            <w:vAlign w:val="center"/>
          </w:tcPr>
          <w:p w14:paraId="69A8B1B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Cs/>
                <w:sz w:val="18"/>
                <w:szCs w:val="18"/>
              </w:rPr>
              <w:t>《化妆品生产质量管理规范》</w:t>
            </w:r>
            <w:r>
              <w:rPr>
                <w:rFonts w:hint="eastAsia" w:ascii="方正仿宋_GBK" w:hAnsi="方正仿宋_GBK" w:eastAsia="方正仿宋_GBK" w:cs="方正仿宋_GBK"/>
                <w:bCs/>
                <w:sz w:val="18"/>
                <w:szCs w:val="18"/>
                <w:lang w:val="zh-CN"/>
              </w:rPr>
              <w:t>第六十五条</w:t>
            </w:r>
            <w:r>
              <w:rPr>
                <w:rFonts w:hint="eastAsia" w:ascii="方正仿宋_GBK" w:hAnsi="方正仿宋_GBK" w:eastAsia="方正仿宋_GBK" w:cs="方正仿宋_GBK"/>
                <w:bCs/>
                <w:sz w:val="18"/>
                <w:szCs w:val="18"/>
              </w:rPr>
              <w:t>。</w:t>
            </w:r>
          </w:p>
        </w:tc>
      </w:tr>
    </w:tbl>
    <w:p w14:paraId="7A9956E9">
      <w:pPr>
        <w:rPr>
          <w:rFonts w:ascii="Times New Roman" w:hAnsi="Times New Roman"/>
        </w:rPr>
      </w:pPr>
    </w:p>
    <w:p w14:paraId="6BD11D7B">
      <w:pPr>
        <w:rPr>
          <w:rFonts w:ascii="Times New Roman" w:hAnsi="Times New Roman"/>
        </w:rPr>
      </w:pPr>
    </w:p>
    <w:p w14:paraId="2D04341C">
      <w:pPr>
        <w:rPr>
          <w:rFonts w:ascii="Times New Roman" w:hAnsi="Times New Roman"/>
        </w:rPr>
      </w:pPr>
    </w:p>
    <w:p w14:paraId="010D184E">
      <w:pPr>
        <w:rPr>
          <w:rFonts w:ascii="Times New Roman" w:hAnsi="Times New Roman"/>
        </w:rPr>
      </w:pPr>
    </w:p>
    <w:tbl>
      <w:tblPr>
        <w:tblStyle w:val="9"/>
        <w:tblW w:w="15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742"/>
        <w:gridCol w:w="8525"/>
        <w:gridCol w:w="5516"/>
      </w:tblGrid>
      <w:tr w14:paraId="4127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756" w:type="dxa"/>
            <w:vAlign w:val="center"/>
          </w:tcPr>
          <w:p w14:paraId="5A460383">
            <w:pPr>
              <w:spacing w:line="400" w:lineRule="exact"/>
              <w:jc w:val="center"/>
              <w:rPr>
                <w:rFonts w:eastAsia="方正黑体_GBK" w:cs="宋体"/>
                <w:bCs/>
                <w:sz w:val="18"/>
                <w:szCs w:val="18"/>
              </w:rPr>
            </w:pPr>
            <w:r>
              <w:rPr>
                <w:rFonts w:hint="eastAsia" w:eastAsia="方正黑体_GBK" w:cs="宋体"/>
                <w:bCs/>
                <w:sz w:val="18"/>
                <w:szCs w:val="18"/>
              </w:rPr>
              <w:t>表10</w:t>
            </w:r>
          </w:p>
        </w:tc>
        <w:tc>
          <w:tcPr>
            <w:tcW w:w="14783" w:type="dxa"/>
            <w:gridSpan w:val="3"/>
            <w:vAlign w:val="center"/>
          </w:tcPr>
          <w:p w14:paraId="0E4157EA">
            <w:pPr>
              <w:spacing w:line="400" w:lineRule="exact"/>
              <w:jc w:val="center"/>
              <w:rPr>
                <w:rFonts w:eastAsia="方正黑体_GBK" w:cs="宋体"/>
                <w:bCs/>
                <w:sz w:val="18"/>
                <w:szCs w:val="18"/>
              </w:rPr>
            </w:pPr>
            <w:r>
              <w:rPr>
                <w:rFonts w:hint="eastAsia" w:eastAsia="方正黑体_GBK" w:cs="仿宋_GB2312"/>
                <w:bCs/>
                <w:sz w:val="18"/>
                <w:szCs w:val="18"/>
              </w:rPr>
              <w:t>药品批发企业主体责任清单</w:t>
            </w:r>
          </w:p>
        </w:tc>
      </w:tr>
      <w:tr w14:paraId="453B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756" w:type="dxa"/>
            <w:vAlign w:val="center"/>
          </w:tcPr>
          <w:p w14:paraId="57DCFA32">
            <w:pPr>
              <w:spacing w:line="400" w:lineRule="exact"/>
              <w:jc w:val="center"/>
              <w:rPr>
                <w:rFonts w:eastAsia="方正黑体_GBK" w:cs="宋体"/>
                <w:bCs/>
                <w:sz w:val="18"/>
                <w:szCs w:val="18"/>
              </w:rPr>
            </w:pPr>
            <w:r>
              <w:rPr>
                <w:rFonts w:hint="eastAsia" w:eastAsia="方正黑体_GBK" w:cs="宋体"/>
                <w:bCs/>
                <w:sz w:val="18"/>
                <w:szCs w:val="18"/>
              </w:rPr>
              <w:t>分类</w:t>
            </w:r>
          </w:p>
        </w:tc>
        <w:tc>
          <w:tcPr>
            <w:tcW w:w="742" w:type="dxa"/>
            <w:vAlign w:val="center"/>
          </w:tcPr>
          <w:p w14:paraId="3196D1AE">
            <w:pPr>
              <w:spacing w:line="400" w:lineRule="exact"/>
              <w:jc w:val="center"/>
              <w:rPr>
                <w:rFonts w:eastAsia="方正黑体_GBK" w:cs="宋体"/>
                <w:bCs/>
                <w:sz w:val="18"/>
                <w:szCs w:val="18"/>
              </w:rPr>
            </w:pPr>
            <w:r>
              <w:rPr>
                <w:rFonts w:hint="eastAsia" w:eastAsia="方正黑体_GBK" w:cs="宋体"/>
                <w:bCs/>
                <w:sz w:val="18"/>
                <w:szCs w:val="18"/>
              </w:rPr>
              <w:t>序号</w:t>
            </w:r>
          </w:p>
        </w:tc>
        <w:tc>
          <w:tcPr>
            <w:tcW w:w="8525" w:type="dxa"/>
            <w:vAlign w:val="center"/>
          </w:tcPr>
          <w:p w14:paraId="568CAA7A">
            <w:pPr>
              <w:spacing w:line="400" w:lineRule="exact"/>
              <w:jc w:val="center"/>
              <w:rPr>
                <w:rFonts w:eastAsia="方正黑体_GBK" w:cs="宋体"/>
                <w:bCs/>
                <w:sz w:val="18"/>
                <w:szCs w:val="18"/>
              </w:rPr>
            </w:pPr>
            <w:r>
              <w:rPr>
                <w:rFonts w:hint="eastAsia" w:eastAsia="方正黑体_GBK" w:cs="宋体"/>
                <w:bCs/>
                <w:sz w:val="18"/>
                <w:szCs w:val="18"/>
              </w:rPr>
              <w:t>主体责任</w:t>
            </w:r>
          </w:p>
        </w:tc>
        <w:tc>
          <w:tcPr>
            <w:tcW w:w="5516" w:type="dxa"/>
            <w:vAlign w:val="center"/>
          </w:tcPr>
          <w:p w14:paraId="508D3632">
            <w:pPr>
              <w:spacing w:line="400" w:lineRule="exact"/>
              <w:jc w:val="center"/>
              <w:rPr>
                <w:rFonts w:eastAsia="方正黑体_GBK" w:cs="宋体"/>
                <w:bCs/>
                <w:sz w:val="18"/>
                <w:szCs w:val="18"/>
              </w:rPr>
            </w:pPr>
            <w:r>
              <w:rPr>
                <w:rFonts w:hint="eastAsia" w:eastAsia="方正黑体_GBK" w:cs="宋体"/>
                <w:bCs/>
                <w:sz w:val="18"/>
                <w:szCs w:val="18"/>
              </w:rPr>
              <w:t>责任依据</w:t>
            </w:r>
          </w:p>
        </w:tc>
      </w:tr>
      <w:tr w14:paraId="4986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56" w:type="dxa"/>
            <w:vMerge w:val="restart"/>
            <w:vAlign w:val="center"/>
          </w:tcPr>
          <w:p w14:paraId="2136677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基本原则</w:t>
            </w:r>
          </w:p>
        </w:tc>
        <w:tc>
          <w:tcPr>
            <w:tcW w:w="742" w:type="dxa"/>
            <w:vAlign w:val="center"/>
          </w:tcPr>
          <w:p w14:paraId="16D8A2C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w:t>
            </w:r>
          </w:p>
        </w:tc>
        <w:tc>
          <w:tcPr>
            <w:tcW w:w="8525" w:type="dxa"/>
            <w:vAlign w:val="center"/>
          </w:tcPr>
          <w:p w14:paraId="77B9CFF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从事药品经营活动，应当遵守法律、法规、规章、标准和规范，保证全过程信息真实、准确、完整和可追溯。</w:t>
            </w:r>
          </w:p>
        </w:tc>
        <w:tc>
          <w:tcPr>
            <w:tcW w:w="5516" w:type="dxa"/>
            <w:vAlign w:val="center"/>
          </w:tcPr>
          <w:p w14:paraId="7CF6F04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《中华人民共和国药品管理法》第七条。</w:t>
            </w:r>
          </w:p>
        </w:tc>
      </w:tr>
      <w:tr w14:paraId="0BB4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56" w:type="dxa"/>
            <w:vMerge w:val="continue"/>
            <w:vAlign w:val="center"/>
          </w:tcPr>
          <w:p w14:paraId="46929F4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0F7E38B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w:t>
            </w:r>
          </w:p>
        </w:tc>
        <w:tc>
          <w:tcPr>
            <w:tcW w:w="8525" w:type="dxa"/>
            <w:vAlign w:val="center"/>
          </w:tcPr>
          <w:p w14:paraId="6CB2AD2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从事疫苗配送活动的单位，应当遵守法律、法规、规章、标准和规范，保证全过程信息真实、准确、完整和可追溯，依法承担责任，接受社会监督。</w:t>
            </w:r>
          </w:p>
        </w:tc>
        <w:tc>
          <w:tcPr>
            <w:tcW w:w="5516" w:type="dxa"/>
            <w:vAlign w:val="center"/>
          </w:tcPr>
          <w:p w14:paraId="4956466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《中华人民共和国疫苗管理法》第五条第二款。</w:t>
            </w:r>
          </w:p>
        </w:tc>
      </w:tr>
      <w:tr w14:paraId="49B4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56" w:type="dxa"/>
            <w:vMerge w:val="restart"/>
            <w:vAlign w:val="center"/>
          </w:tcPr>
          <w:p w14:paraId="0286D34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药品经营许可管理</w:t>
            </w:r>
          </w:p>
        </w:tc>
        <w:tc>
          <w:tcPr>
            <w:tcW w:w="742" w:type="dxa"/>
            <w:vAlign w:val="center"/>
          </w:tcPr>
          <w:p w14:paraId="3D7616E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w:t>
            </w:r>
          </w:p>
        </w:tc>
        <w:tc>
          <w:tcPr>
            <w:tcW w:w="8525" w:type="dxa"/>
            <w:vAlign w:val="center"/>
          </w:tcPr>
          <w:p w14:paraId="46A760C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从事药品批发活动，应当经省级药品监督管理部门批准，取得药品经营许可证。无药品经营许可证的，不得经营药品。</w:t>
            </w:r>
          </w:p>
        </w:tc>
        <w:tc>
          <w:tcPr>
            <w:tcW w:w="5516" w:type="dxa"/>
            <w:vAlign w:val="center"/>
          </w:tcPr>
          <w:p w14:paraId="22E0B5C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《中华人民共和国药品管理法》第五十一条。</w:t>
            </w:r>
          </w:p>
        </w:tc>
      </w:tr>
      <w:tr w14:paraId="13B5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56" w:type="dxa"/>
            <w:vMerge w:val="continue"/>
            <w:vAlign w:val="center"/>
          </w:tcPr>
          <w:p w14:paraId="418E703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46D805B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w:t>
            </w:r>
          </w:p>
        </w:tc>
        <w:tc>
          <w:tcPr>
            <w:tcW w:w="8525" w:type="dxa"/>
            <w:vAlign w:val="center"/>
          </w:tcPr>
          <w:p w14:paraId="1437BF0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从事药品经营活动应当具有依法经过资格认定的药师或者其他药学技术人员；有与所经营药品相适应的营业场所、设备、仓储设施和卫生环境；有与所经营药品相适应的质量管理机构或者人员；有保证药品质量的规章制度，并符合国务院药品监督管理部门依据本法制定的药品经营质量管理规范要求。</w:t>
            </w:r>
          </w:p>
        </w:tc>
        <w:tc>
          <w:tcPr>
            <w:tcW w:w="5516" w:type="dxa"/>
            <w:vAlign w:val="center"/>
          </w:tcPr>
          <w:p w14:paraId="217D648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《中华人民共和国药品管理法》第五十二条。</w:t>
            </w:r>
          </w:p>
        </w:tc>
      </w:tr>
      <w:tr w14:paraId="13A7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756" w:type="dxa"/>
            <w:vMerge w:val="continue"/>
            <w:vAlign w:val="center"/>
          </w:tcPr>
          <w:p w14:paraId="2EA5C92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327F6CD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8525" w:type="dxa"/>
            <w:vAlign w:val="center"/>
          </w:tcPr>
          <w:p w14:paraId="38E3B9C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麻醉药品和精神药品定点批发企业除应当具备药品管理法规定的药品经营企业的开办条件外，还应当具有符合本条例规定的麻醉药品和精神药品储存条件；有通过网络实施企业安</w:t>
            </w:r>
            <w:r>
              <w:rPr>
                <w:rFonts w:hint="eastAsia" w:ascii="方正仿宋_GBK" w:hAnsi="方正仿宋_GBK" w:eastAsia="方正仿宋_GBK" w:cs="方正仿宋_GBK"/>
                <w:spacing w:val="-4"/>
                <w:sz w:val="18"/>
                <w:szCs w:val="18"/>
              </w:rPr>
              <w:t>全管理和向药品监督管理部门报告经营信息的能力；单位及其工作人员2年内没有违反有关禁毒的法律、行政法规规定的行为；符合国务院药品监督管理部门公布的定点批发企业布局。</w:t>
            </w:r>
          </w:p>
          <w:p w14:paraId="6120A1C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麻醉药品和第一类精神药品的定点批发企业，还应当具有保证供应责任区域内医疗机构所需麻醉药品和第一类精神药品的能力，并具有保证麻醉药品和第一类精神药品安全经营的管理制度。</w:t>
            </w:r>
          </w:p>
        </w:tc>
        <w:tc>
          <w:tcPr>
            <w:tcW w:w="5516" w:type="dxa"/>
            <w:vAlign w:val="center"/>
          </w:tcPr>
          <w:p w14:paraId="1D52BA1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《麻醉药品和精神药品管理条例》第二十三条。</w:t>
            </w:r>
          </w:p>
        </w:tc>
      </w:tr>
      <w:tr w14:paraId="2CB1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56" w:type="dxa"/>
            <w:vMerge w:val="continue"/>
            <w:vAlign w:val="center"/>
          </w:tcPr>
          <w:p w14:paraId="65369F6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7E74F88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8525" w:type="dxa"/>
            <w:vAlign w:val="center"/>
          </w:tcPr>
          <w:p w14:paraId="0F4C6AC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从事麻醉药品和第一类精神药品区域性批发的企业、专门从事第二类精神药品批发业务的企业，应当经省级药品监督管理部门批准。</w:t>
            </w:r>
          </w:p>
        </w:tc>
        <w:tc>
          <w:tcPr>
            <w:tcW w:w="5516" w:type="dxa"/>
            <w:vAlign w:val="center"/>
          </w:tcPr>
          <w:p w14:paraId="3BF3979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《麻醉药品和精神药品管理条例》第二十四条第一款、第二款。</w:t>
            </w:r>
          </w:p>
        </w:tc>
      </w:tr>
      <w:tr w14:paraId="760E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56" w:type="dxa"/>
            <w:vMerge w:val="restart"/>
            <w:vAlign w:val="center"/>
          </w:tcPr>
          <w:p w14:paraId="117F8A4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药品经营许可管理</w:t>
            </w:r>
          </w:p>
        </w:tc>
        <w:tc>
          <w:tcPr>
            <w:tcW w:w="742" w:type="dxa"/>
            <w:vAlign w:val="center"/>
          </w:tcPr>
          <w:p w14:paraId="071BE59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w:t>
            </w:r>
          </w:p>
        </w:tc>
        <w:tc>
          <w:tcPr>
            <w:tcW w:w="8525" w:type="dxa"/>
            <w:vAlign w:val="center"/>
          </w:tcPr>
          <w:p w14:paraId="51B8F41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依照药品管理法的规定取得《药品经营许可证》的药品批发企业，具有专门的管理人员、有专储仓库或者专储药柜、有专门的验收、检查、保管、销售和出入库登记制度，符合法律、行政法规规定的其他条件，并经省级药品监督管理部门批准，方可经营蛋白同化制剂、肽类激素。</w:t>
            </w:r>
          </w:p>
        </w:tc>
        <w:tc>
          <w:tcPr>
            <w:tcW w:w="5516" w:type="dxa"/>
            <w:vAlign w:val="center"/>
          </w:tcPr>
          <w:p w14:paraId="4150794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《反兴奋剂条例》第九条第一款。</w:t>
            </w:r>
          </w:p>
        </w:tc>
      </w:tr>
      <w:tr w14:paraId="7327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56" w:type="dxa"/>
            <w:vMerge w:val="continue"/>
            <w:vAlign w:val="center"/>
          </w:tcPr>
          <w:p w14:paraId="6BE8A41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1BEF6EB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8525" w:type="dxa"/>
            <w:vAlign w:val="center"/>
          </w:tcPr>
          <w:p w14:paraId="716E622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开办放射性药品生产、经营企业，必须具备《中华人民共和国药品管理法》规定的条件，符合国家有关放射性同位素安全和防护的规定与标准，并履行环境影响评价文件的审批手续。无许可证的经营企业，一律不准经营放射性药品。</w:t>
            </w:r>
          </w:p>
          <w:p w14:paraId="7225259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放射性药品的经营单位凭《放射性药品经营企业许可证》，开展放射性药品的购销活动。</w:t>
            </w:r>
          </w:p>
        </w:tc>
        <w:tc>
          <w:tcPr>
            <w:tcW w:w="5516" w:type="dxa"/>
            <w:vAlign w:val="center"/>
          </w:tcPr>
          <w:p w14:paraId="59B0096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《放射性药品管理办法》第十条、第十五条。</w:t>
            </w:r>
          </w:p>
        </w:tc>
      </w:tr>
      <w:tr w14:paraId="0C6A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56" w:type="dxa"/>
            <w:vMerge w:val="continue"/>
            <w:vAlign w:val="center"/>
          </w:tcPr>
          <w:p w14:paraId="5BBBDF1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3D3EF3A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9</w:t>
            </w:r>
          </w:p>
        </w:tc>
        <w:tc>
          <w:tcPr>
            <w:tcW w:w="8525" w:type="dxa"/>
            <w:vAlign w:val="center"/>
          </w:tcPr>
          <w:p w14:paraId="20E2E4C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放射性经营企业，必须配备与经营放射性药品相适应的专业技术人员，具有安全、防护和废气、废物、废水处理等设施，并建立严格的质量管理制度。</w:t>
            </w:r>
          </w:p>
        </w:tc>
        <w:tc>
          <w:tcPr>
            <w:tcW w:w="5516" w:type="dxa"/>
            <w:vAlign w:val="center"/>
          </w:tcPr>
          <w:p w14:paraId="358682E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《放射性药品管理办法》第十三条。</w:t>
            </w:r>
          </w:p>
        </w:tc>
      </w:tr>
      <w:tr w14:paraId="632F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56" w:type="dxa"/>
            <w:vMerge w:val="continue"/>
            <w:vAlign w:val="center"/>
          </w:tcPr>
          <w:p w14:paraId="0570DB3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186C232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8525" w:type="dxa"/>
            <w:vAlign w:val="center"/>
          </w:tcPr>
          <w:p w14:paraId="1496C13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申请经营第一类中的药品类易制毒化学品的，由省级药品监督管理部门审批。</w:t>
            </w:r>
          </w:p>
        </w:tc>
        <w:tc>
          <w:tcPr>
            <w:tcW w:w="5516" w:type="dxa"/>
            <w:vAlign w:val="center"/>
          </w:tcPr>
          <w:p w14:paraId="66CB758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《易制毒化学品管理条例》第十条第一款。</w:t>
            </w:r>
          </w:p>
        </w:tc>
      </w:tr>
      <w:tr w14:paraId="24C9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756" w:type="dxa"/>
            <w:vMerge w:val="restart"/>
            <w:vAlign w:val="center"/>
          </w:tcPr>
          <w:p w14:paraId="0B4E475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药品经营管理</w:t>
            </w:r>
          </w:p>
        </w:tc>
        <w:tc>
          <w:tcPr>
            <w:tcW w:w="742" w:type="dxa"/>
            <w:vAlign w:val="center"/>
          </w:tcPr>
          <w:p w14:paraId="01979EA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11</w:t>
            </w:r>
          </w:p>
        </w:tc>
        <w:tc>
          <w:tcPr>
            <w:tcW w:w="8525" w:type="dxa"/>
            <w:vAlign w:val="center"/>
          </w:tcPr>
          <w:p w14:paraId="5013EEA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从事药品经营活动，应当遵守药品经营质量管理规范，建立健全药品经营质量管理体系，按照药品经营许可证载明的经营方式和经营范围，在药品监督管理部门核准的地址销售、储存药品，保证药品经营全过程符合法定要求。</w:t>
            </w:r>
          </w:p>
          <w:p w14:paraId="5B9C823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药品经营企业的法定代表人、主要负责人对本企业的药品经营活动全面负责。</w:t>
            </w:r>
          </w:p>
        </w:tc>
        <w:tc>
          <w:tcPr>
            <w:tcW w:w="5516" w:type="dxa"/>
            <w:vAlign w:val="center"/>
          </w:tcPr>
          <w:p w14:paraId="1EFD107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《中华人民共和国药品管理法》第五十三条；《药品经营和使用质量监督管理办法》第三十一条、第三十三条第一款。</w:t>
            </w:r>
          </w:p>
        </w:tc>
      </w:tr>
      <w:tr w14:paraId="745F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56" w:type="dxa"/>
            <w:vMerge w:val="continue"/>
            <w:vAlign w:val="center"/>
          </w:tcPr>
          <w:p w14:paraId="449AAC7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1015682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12</w:t>
            </w:r>
          </w:p>
        </w:tc>
        <w:tc>
          <w:tcPr>
            <w:tcW w:w="8525" w:type="dxa"/>
            <w:vAlign w:val="center"/>
          </w:tcPr>
          <w:p w14:paraId="094B621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药品经营企业应当开展评估、验证、审核等质量管理活动，对已识别的风险及时采取有效控制措施，保证药品质量。</w:t>
            </w:r>
          </w:p>
        </w:tc>
        <w:tc>
          <w:tcPr>
            <w:tcW w:w="5516" w:type="dxa"/>
            <w:vAlign w:val="center"/>
          </w:tcPr>
          <w:p w14:paraId="50ADD98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《药品经营和使用质量监督管理办法》第三十二条。</w:t>
            </w:r>
          </w:p>
        </w:tc>
      </w:tr>
      <w:tr w14:paraId="2674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56" w:type="dxa"/>
            <w:vMerge w:val="continue"/>
            <w:vAlign w:val="center"/>
          </w:tcPr>
          <w:p w14:paraId="5A3CF8F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34DA845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13</w:t>
            </w:r>
          </w:p>
        </w:tc>
        <w:tc>
          <w:tcPr>
            <w:tcW w:w="8525" w:type="dxa"/>
            <w:vAlign w:val="center"/>
          </w:tcPr>
          <w:p w14:paraId="7583E39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药品经营企业不得经营疫苗、医疗机构制剂、中药配方颗粒等国家禁止药品经营企业经营的药品。</w:t>
            </w:r>
          </w:p>
        </w:tc>
        <w:tc>
          <w:tcPr>
            <w:tcW w:w="5516" w:type="dxa"/>
            <w:vAlign w:val="center"/>
          </w:tcPr>
          <w:p w14:paraId="19399D4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《药品经营和使用质量监督管理办法》第三十六条。</w:t>
            </w:r>
          </w:p>
        </w:tc>
      </w:tr>
      <w:tr w14:paraId="23D7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56" w:type="dxa"/>
            <w:vMerge w:val="restart"/>
            <w:vAlign w:val="center"/>
          </w:tcPr>
          <w:p w14:paraId="6AED6E7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药品经营管理</w:t>
            </w:r>
          </w:p>
        </w:tc>
        <w:tc>
          <w:tcPr>
            <w:tcW w:w="742" w:type="dxa"/>
            <w:vAlign w:val="center"/>
          </w:tcPr>
          <w:p w14:paraId="30C5AF7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14</w:t>
            </w:r>
          </w:p>
        </w:tc>
        <w:tc>
          <w:tcPr>
            <w:tcW w:w="8525" w:type="dxa"/>
            <w:vAlign w:val="center"/>
          </w:tcPr>
          <w:p w14:paraId="45CC560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药品经营企业应当加强药品采购、销售人员的管理，对其进行法律、法规、规章、标准、规范和专业知识培训，并对其药品经营行为承担法律责任。</w:t>
            </w:r>
          </w:p>
        </w:tc>
        <w:tc>
          <w:tcPr>
            <w:tcW w:w="5516" w:type="dxa"/>
            <w:vAlign w:val="center"/>
          </w:tcPr>
          <w:p w14:paraId="4220577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《药品经营和使用质量监督管理办法》第三十七条。</w:t>
            </w:r>
          </w:p>
        </w:tc>
      </w:tr>
      <w:tr w14:paraId="224D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56" w:type="dxa"/>
            <w:vMerge w:val="continue"/>
            <w:vAlign w:val="center"/>
          </w:tcPr>
          <w:p w14:paraId="0C260DE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614C08B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15</w:t>
            </w:r>
          </w:p>
        </w:tc>
        <w:tc>
          <w:tcPr>
            <w:tcW w:w="8525" w:type="dxa"/>
            <w:vAlign w:val="center"/>
          </w:tcPr>
          <w:p w14:paraId="5655120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药品经营企业应当从药品上市许可持有人或者具有药品生产、经营资格的企业购进药品。</w:t>
            </w:r>
          </w:p>
        </w:tc>
        <w:tc>
          <w:tcPr>
            <w:tcW w:w="5516" w:type="dxa"/>
            <w:vAlign w:val="center"/>
          </w:tcPr>
          <w:p w14:paraId="1A282D2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《中华人民共和国药品管理法》第五十五条。</w:t>
            </w:r>
          </w:p>
        </w:tc>
      </w:tr>
      <w:tr w14:paraId="780D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756" w:type="dxa"/>
            <w:vMerge w:val="continue"/>
            <w:vAlign w:val="center"/>
          </w:tcPr>
          <w:p w14:paraId="2463232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21978AA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16</w:t>
            </w:r>
          </w:p>
        </w:tc>
        <w:tc>
          <w:tcPr>
            <w:tcW w:w="8525" w:type="dxa"/>
            <w:vAlign w:val="center"/>
          </w:tcPr>
          <w:p w14:paraId="63E6628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药品经营企业购进药品，应当建立并执行进货检查验收制度，验明药品合格证明和其他标识；不符合规定要求的，不得购进和销售。</w:t>
            </w:r>
          </w:p>
        </w:tc>
        <w:tc>
          <w:tcPr>
            <w:tcW w:w="5516" w:type="dxa"/>
            <w:vAlign w:val="center"/>
          </w:tcPr>
          <w:p w14:paraId="4ABB8B4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《中华人民共和国药品管理法》第五十六条。</w:t>
            </w:r>
          </w:p>
        </w:tc>
      </w:tr>
      <w:tr w14:paraId="0D29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756" w:type="dxa"/>
            <w:vMerge w:val="continue"/>
            <w:vAlign w:val="center"/>
          </w:tcPr>
          <w:p w14:paraId="637A401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69C4F9B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17</w:t>
            </w:r>
          </w:p>
        </w:tc>
        <w:tc>
          <w:tcPr>
            <w:tcW w:w="8525" w:type="dxa"/>
            <w:vAlign w:val="center"/>
          </w:tcPr>
          <w:p w14:paraId="2A3581E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tc>
        <w:tc>
          <w:tcPr>
            <w:tcW w:w="5516" w:type="dxa"/>
            <w:vAlign w:val="center"/>
          </w:tcPr>
          <w:p w14:paraId="29B2256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《中华人民共和国药品管理法》第五十七条。</w:t>
            </w:r>
          </w:p>
        </w:tc>
      </w:tr>
      <w:tr w14:paraId="5C75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56" w:type="dxa"/>
            <w:vMerge w:val="continue"/>
            <w:vAlign w:val="center"/>
          </w:tcPr>
          <w:p w14:paraId="2891D4F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695DD4D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18</w:t>
            </w:r>
          </w:p>
        </w:tc>
        <w:tc>
          <w:tcPr>
            <w:tcW w:w="8525" w:type="dxa"/>
            <w:vAlign w:val="center"/>
          </w:tcPr>
          <w:p w14:paraId="7917315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储存、运输应当严格遵守药品经营质量管理规范的要求，根据药品包装、质量特性、温度控制等要求采取有效措施，保证储存、运输过程中的药品质量安全。冷藏冷冻药品储存、运输应当按要求配备冷藏冷冻设施设备，确保全过程处于规定的温度环境，按照规定做好监测记录。</w:t>
            </w:r>
          </w:p>
        </w:tc>
        <w:tc>
          <w:tcPr>
            <w:tcW w:w="5516" w:type="dxa"/>
            <w:vAlign w:val="center"/>
          </w:tcPr>
          <w:p w14:paraId="1DAB612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《药品经营和使用质量监督管理办法》第四十一条。</w:t>
            </w:r>
          </w:p>
        </w:tc>
      </w:tr>
      <w:tr w14:paraId="57D8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56" w:type="dxa"/>
            <w:vMerge w:val="continue"/>
            <w:vAlign w:val="center"/>
          </w:tcPr>
          <w:p w14:paraId="670E107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1A48364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19</w:t>
            </w:r>
          </w:p>
        </w:tc>
        <w:tc>
          <w:tcPr>
            <w:tcW w:w="8525" w:type="dxa"/>
            <w:vAlign w:val="center"/>
          </w:tcPr>
          <w:p w14:paraId="5339AEB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pacing w:val="-6"/>
                <w:sz w:val="18"/>
                <w:szCs w:val="18"/>
              </w:rPr>
            </w:pPr>
            <w:r>
              <w:rPr>
                <w:rFonts w:hint="eastAsia" w:ascii="方正仿宋_GBK" w:hAnsi="方正仿宋_GBK" w:eastAsia="方正仿宋_GBK" w:cs="方正仿宋_GBK"/>
                <w:spacing w:val="-6"/>
                <w:sz w:val="18"/>
                <w:szCs w:val="18"/>
              </w:rPr>
              <w:t>药品经营企业委托储存、运输药品的，应当对受托方质量保证能力和风险管理能力进行评估，与其签订委托协议，约定药品质量责任、操作规程等内容，对受托方进行监督，并开展定期检查。</w:t>
            </w:r>
          </w:p>
        </w:tc>
        <w:tc>
          <w:tcPr>
            <w:tcW w:w="5516" w:type="dxa"/>
            <w:vAlign w:val="center"/>
          </w:tcPr>
          <w:p w14:paraId="5E299A2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《药品经营和使用质量监督管理办法》第四十五条。</w:t>
            </w:r>
          </w:p>
        </w:tc>
      </w:tr>
      <w:tr w14:paraId="400D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756" w:type="dxa"/>
            <w:vAlign w:val="center"/>
          </w:tcPr>
          <w:p w14:paraId="3CE483B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药品网络销售管理</w:t>
            </w:r>
          </w:p>
        </w:tc>
        <w:tc>
          <w:tcPr>
            <w:tcW w:w="742" w:type="dxa"/>
            <w:vAlign w:val="center"/>
          </w:tcPr>
          <w:p w14:paraId="498D128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20</w:t>
            </w:r>
          </w:p>
        </w:tc>
        <w:tc>
          <w:tcPr>
            <w:tcW w:w="8525" w:type="dxa"/>
            <w:vAlign w:val="center"/>
          </w:tcPr>
          <w:p w14:paraId="7114476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药品经营企业通过网络销售药品，应当遵守《中华人民共和国药品管理法》《药品网络销售监督管理办法》的有关规定。</w:t>
            </w:r>
          </w:p>
          <w:p w14:paraId="403ADB4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疫苗、血液制品、麻醉药品、精神药品、医疗用毒性药品、放射性药品、药品类易制毒化学</w:t>
            </w:r>
            <w:r>
              <w:rPr>
                <w:rFonts w:hint="eastAsia" w:ascii="方正仿宋_GBK" w:hAnsi="方正仿宋_GBK" w:eastAsia="方正仿宋_GBK" w:cs="方正仿宋_GBK"/>
                <w:spacing w:val="-4"/>
                <w:sz w:val="18"/>
                <w:szCs w:val="18"/>
              </w:rPr>
              <w:t>品等国家实行特殊管理的药品不得在网络上销售，具体目录由国家药品监督管理局组织制定。</w:t>
            </w:r>
          </w:p>
        </w:tc>
        <w:tc>
          <w:tcPr>
            <w:tcW w:w="5516" w:type="dxa"/>
            <w:vAlign w:val="center"/>
          </w:tcPr>
          <w:p w14:paraId="206166B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《中华人民共和国药品管理法》第六十一条；《药品网络销售监督管理办法》第八条。</w:t>
            </w:r>
          </w:p>
        </w:tc>
      </w:tr>
      <w:tr w14:paraId="639A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56" w:type="dxa"/>
            <w:vMerge w:val="restart"/>
            <w:vAlign w:val="center"/>
          </w:tcPr>
          <w:p w14:paraId="2AC5E3D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药品网络销售管理</w:t>
            </w:r>
          </w:p>
        </w:tc>
        <w:tc>
          <w:tcPr>
            <w:tcW w:w="742" w:type="dxa"/>
            <w:vAlign w:val="center"/>
          </w:tcPr>
          <w:p w14:paraId="190E0E0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21</w:t>
            </w:r>
          </w:p>
        </w:tc>
        <w:tc>
          <w:tcPr>
            <w:tcW w:w="8525" w:type="dxa"/>
            <w:vAlign w:val="center"/>
          </w:tcPr>
          <w:p w14:paraId="1B7597C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从事药品网络销售，应当采取有效措施保证交易全过程信息真实、准确、完整和可追溯，并遵守国家个人信息保护的有关规定。</w:t>
            </w:r>
          </w:p>
        </w:tc>
        <w:tc>
          <w:tcPr>
            <w:tcW w:w="5516" w:type="dxa"/>
            <w:vAlign w:val="center"/>
          </w:tcPr>
          <w:p w14:paraId="306C59D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《药品网络销售监督管理办法》第五条。</w:t>
            </w:r>
          </w:p>
        </w:tc>
      </w:tr>
      <w:tr w14:paraId="1711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56" w:type="dxa"/>
            <w:vMerge w:val="continue"/>
            <w:vAlign w:val="center"/>
          </w:tcPr>
          <w:p w14:paraId="6ECA0BF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26E8BEE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22</w:t>
            </w:r>
          </w:p>
        </w:tc>
        <w:tc>
          <w:tcPr>
            <w:tcW w:w="8525" w:type="dxa"/>
            <w:vAlign w:val="center"/>
          </w:tcPr>
          <w:p w14:paraId="4373F69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药品网络销售企业应当建立并实施药品质量安全管理、风险控制、药品追溯、储存配送管理、不良反应报告、投诉举报处理等制度。</w:t>
            </w:r>
          </w:p>
        </w:tc>
        <w:tc>
          <w:tcPr>
            <w:tcW w:w="5516" w:type="dxa"/>
            <w:vAlign w:val="center"/>
          </w:tcPr>
          <w:p w14:paraId="3029FA2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《药品网络销售监督管理办法》第十条。</w:t>
            </w:r>
          </w:p>
        </w:tc>
      </w:tr>
      <w:tr w14:paraId="7F69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756" w:type="dxa"/>
            <w:vMerge w:val="continue"/>
            <w:vAlign w:val="center"/>
          </w:tcPr>
          <w:p w14:paraId="7BF4484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4F555FC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23</w:t>
            </w:r>
          </w:p>
        </w:tc>
        <w:tc>
          <w:tcPr>
            <w:tcW w:w="8525" w:type="dxa"/>
            <w:vAlign w:val="center"/>
          </w:tcPr>
          <w:p w14:paraId="5FDC217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网络销售企业应当向药品监督管理部门报告企业名称、网站名称、应用程序名称、IP地址、域名、药品生产许可证或者药品经营许可证等信息。信息发生变化的，应当在10个工作日内报告。药品网络销售企业为药品上市许可持有人或者药品批发企业的，应当向所在地省级药品监督管理部门报告。</w:t>
            </w:r>
          </w:p>
        </w:tc>
        <w:tc>
          <w:tcPr>
            <w:tcW w:w="5516" w:type="dxa"/>
            <w:vAlign w:val="center"/>
          </w:tcPr>
          <w:p w14:paraId="234F5A6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《药品网络销售监督管理办法》第十一条。</w:t>
            </w:r>
          </w:p>
        </w:tc>
      </w:tr>
      <w:tr w14:paraId="7AAA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56" w:type="dxa"/>
            <w:vMerge w:val="continue"/>
            <w:vAlign w:val="center"/>
          </w:tcPr>
          <w:p w14:paraId="65275CF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008357F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24</w:t>
            </w:r>
          </w:p>
        </w:tc>
        <w:tc>
          <w:tcPr>
            <w:tcW w:w="8525" w:type="dxa"/>
            <w:vAlign w:val="center"/>
          </w:tcPr>
          <w:p w14:paraId="0C9866C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药品网络销售企业应当在网站首页或者经营活动的主页面显著位置，持续公示其药品生产或者经营许可证信息。药品网络销售企业展示的药品相关信息应当真实、准确、合法。</w:t>
            </w:r>
          </w:p>
        </w:tc>
        <w:tc>
          <w:tcPr>
            <w:tcW w:w="5516" w:type="dxa"/>
            <w:vAlign w:val="center"/>
          </w:tcPr>
          <w:p w14:paraId="30D9C79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《药品网络销售监督管理办法》第十二条、第十三条第一款。</w:t>
            </w:r>
          </w:p>
        </w:tc>
      </w:tr>
      <w:tr w14:paraId="362F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56" w:type="dxa"/>
            <w:vMerge w:val="continue"/>
            <w:vAlign w:val="center"/>
          </w:tcPr>
          <w:p w14:paraId="3F37E73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1E33FF4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25</w:t>
            </w:r>
          </w:p>
        </w:tc>
        <w:tc>
          <w:tcPr>
            <w:tcW w:w="8525" w:type="dxa"/>
            <w:vAlign w:val="center"/>
          </w:tcPr>
          <w:p w14:paraId="155ED55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药品网络销售企业对存在质量问题或者安全隐患的药品，应当依法采取相应的风险控制措施，并及时在网站首页或者经营活动主页面公开相应信息。</w:t>
            </w:r>
          </w:p>
        </w:tc>
        <w:tc>
          <w:tcPr>
            <w:tcW w:w="5516" w:type="dxa"/>
            <w:vAlign w:val="center"/>
          </w:tcPr>
          <w:p w14:paraId="304DFDE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《药品网络销售监督管理办法》第十六条。</w:t>
            </w:r>
          </w:p>
        </w:tc>
      </w:tr>
      <w:tr w14:paraId="6650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56" w:type="dxa"/>
            <w:vMerge w:val="restart"/>
            <w:vAlign w:val="center"/>
          </w:tcPr>
          <w:p w14:paraId="3D3E478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药品进口管理</w:t>
            </w:r>
          </w:p>
        </w:tc>
        <w:tc>
          <w:tcPr>
            <w:tcW w:w="742" w:type="dxa"/>
            <w:vAlign w:val="center"/>
          </w:tcPr>
          <w:p w14:paraId="3607BF4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26</w:t>
            </w:r>
          </w:p>
        </w:tc>
        <w:tc>
          <w:tcPr>
            <w:tcW w:w="8525" w:type="dxa"/>
            <w:vAlign w:val="center"/>
          </w:tcPr>
          <w:p w14:paraId="0588C46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药品应当从允许药品进口的口岸进口，并由进口药品的企业向口岸所在地药品监督管理部门备案。</w:t>
            </w:r>
          </w:p>
        </w:tc>
        <w:tc>
          <w:tcPr>
            <w:tcW w:w="5516" w:type="dxa"/>
            <w:vAlign w:val="center"/>
          </w:tcPr>
          <w:p w14:paraId="77D572F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《中华人民共和国药品管理法》第六十四条第一款。</w:t>
            </w:r>
          </w:p>
        </w:tc>
      </w:tr>
      <w:tr w14:paraId="0CA0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56" w:type="dxa"/>
            <w:vMerge w:val="continue"/>
            <w:vAlign w:val="center"/>
          </w:tcPr>
          <w:p w14:paraId="1838B80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1878243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27</w:t>
            </w:r>
          </w:p>
        </w:tc>
        <w:tc>
          <w:tcPr>
            <w:tcW w:w="8525" w:type="dxa"/>
            <w:vAlign w:val="center"/>
          </w:tcPr>
          <w:p w14:paraId="1B18D44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进口麻醉药品和国家规定范围内的精神药品，应当持有国务院药品监督管理部门颁发的进口准许证。</w:t>
            </w:r>
          </w:p>
        </w:tc>
        <w:tc>
          <w:tcPr>
            <w:tcW w:w="5516" w:type="dxa"/>
            <w:vAlign w:val="center"/>
          </w:tcPr>
          <w:p w14:paraId="228E1BD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《中华人民共和国药品管理法》第六十六条。</w:t>
            </w:r>
          </w:p>
        </w:tc>
      </w:tr>
      <w:tr w14:paraId="7901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6" w:type="dxa"/>
            <w:vMerge w:val="continue"/>
            <w:vAlign w:val="center"/>
          </w:tcPr>
          <w:p w14:paraId="4189527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201449A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28</w:t>
            </w:r>
          </w:p>
        </w:tc>
        <w:tc>
          <w:tcPr>
            <w:tcW w:w="8525" w:type="dxa"/>
            <w:vAlign w:val="center"/>
          </w:tcPr>
          <w:p w14:paraId="6A44506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进口蛋白同化制剂、肽类激素，除依照药品管理法及其实施条例的规定取得进口药品注册证书外，还应当取得进口准许证。</w:t>
            </w:r>
          </w:p>
        </w:tc>
        <w:tc>
          <w:tcPr>
            <w:tcW w:w="5516" w:type="dxa"/>
            <w:vAlign w:val="center"/>
          </w:tcPr>
          <w:p w14:paraId="7547908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《反兴奋剂条例》第十一条第一款。</w:t>
            </w:r>
          </w:p>
        </w:tc>
      </w:tr>
      <w:tr w14:paraId="44AB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56" w:type="dxa"/>
            <w:vMerge w:val="restart"/>
            <w:vAlign w:val="center"/>
          </w:tcPr>
          <w:p w14:paraId="0899B92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药品进口管理</w:t>
            </w:r>
          </w:p>
        </w:tc>
        <w:tc>
          <w:tcPr>
            <w:tcW w:w="742" w:type="dxa"/>
            <w:vAlign w:val="center"/>
          </w:tcPr>
          <w:p w14:paraId="41E76BB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29</w:t>
            </w:r>
          </w:p>
        </w:tc>
        <w:tc>
          <w:tcPr>
            <w:tcW w:w="8525" w:type="dxa"/>
            <w:vAlign w:val="center"/>
          </w:tcPr>
          <w:p w14:paraId="2AAE655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禁止进口疗效不确切、不良反应大或者因其他原因危害人体健康的药品。</w:t>
            </w:r>
          </w:p>
        </w:tc>
        <w:tc>
          <w:tcPr>
            <w:tcW w:w="5516" w:type="dxa"/>
            <w:vAlign w:val="center"/>
          </w:tcPr>
          <w:p w14:paraId="7D67329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《中华人民共和国药品管理法》第六十七条。</w:t>
            </w:r>
          </w:p>
        </w:tc>
      </w:tr>
      <w:tr w14:paraId="7E3C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56" w:type="dxa"/>
            <w:vMerge w:val="continue"/>
            <w:vAlign w:val="center"/>
          </w:tcPr>
          <w:p w14:paraId="26D8FC5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029BC09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30</w:t>
            </w:r>
          </w:p>
        </w:tc>
        <w:tc>
          <w:tcPr>
            <w:tcW w:w="8525" w:type="dxa"/>
            <w:vAlign w:val="center"/>
          </w:tcPr>
          <w:p w14:paraId="30A2E25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禁止未取得药品批准证明文件进口药品。</w:t>
            </w:r>
          </w:p>
        </w:tc>
        <w:tc>
          <w:tcPr>
            <w:tcW w:w="5516" w:type="dxa"/>
            <w:vAlign w:val="center"/>
          </w:tcPr>
          <w:p w14:paraId="1179755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《中华人民共和国药品管理法》第九十八条第四款。</w:t>
            </w:r>
          </w:p>
        </w:tc>
      </w:tr>
      <w:tr w14:paraId="3BDE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56" w:type="dxa"/>
            <w:vMerge w:val="continue"/>
            <w:vAlign w:val="center"/>
          </w:tcPr>
          <w:p w14:paraId="63420FB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48EB44C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31</w:t>
            </w:r>
          </w:p>
        </w:tc>
        <w:tc>
          <w:tcPr>
            <w:tcW w:w="8525" w:type="dxa"/>
            <w:vAlign w:val="center"/>
          </w:tcPr>
          <w:p w14:paraId="427955F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进口的放射性药品品种，必须符合我国的药品标准或者其他药用要求，并依照《中华人民共和国药品管理法》的规定取得进口药品注册证书。</w:t>
            </w:r>
          </w:p>
        </w:tc>
        <w:tc>
          <w:tcPr>
            <w:tcW w:w="5516" w:type="dxa"/>
            <w:vAlign w:val="center"/>
          </w:tcPr>
          <w:p w14:paraId="33F265A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《放射性药品管理办法》第十六条第一款。</w:t>
            </w:r>
          </w:p>
        </w:tc>
      </w:tr>
      <w:tr w14:paraId="1415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56" w:type="dxa"/>
            <w:vMerge w:val="continue"/>
            <w:vAlign w:val="center"/>
          </w:tcPr>
          <w:p w14:paraId="11995E1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6C05F31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32</w:t>
            </w:r>
          </w:p>
        </w:tc>
        <w:tc>
          <w:tcPr>
            <w:tcW w:w="8525" w:type="dxa"/>
            <w:vAlign w:val="center"/>
          </w:tcPr>
          <w:p w14:paraId="112EF87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进口放射性药品，必须经国务院药品监督管理部门指定的药品检验机构抽样检验；检验合格的，方准进口。</w:t>
            </w:r>
          </w:p>
        </w:tc>
        <w:tc>
          <w:tcPr>
            <w:tcW w:w="5516" w:type="dxa"/>
            <w:vAlign w:val="center"/>
          </w:tcPr>
          <w:p w14:paraId="721A394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《放射性药品管理办法》第十七条第一款。</w:t>
            </w:r>
          </w:p>
        </w:tc>
      </w:tr>
      <w:tr w14:paraId="17FC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56" w:type="dxa"/>
            <w:vMerge w:val="continue"/>
            <w:vAlign w:val="center"/>
          </w:tcPr>
          <w:p w14:paraId="0CCEC6D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0ECE203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33</w:t>
            </w:r>
          </w:p>
        </w:tc>
        <w:tc>
          <w:tcPr>
            <w:tcW w:w="8525" w:type="dxa"/>
            <w:vAlign w:val="center"/>
          </w:tcPr>
          <w:p w14:paraId="219B3FD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pacing w:val="-4"/>
                <w:sz w:val="18"/>
                <w:szCs w:val="18"/>
              </w:rPr>
            </w:pPr>
            <w:r>
              <w:rPr>
                <w:rFonts w:hint="eastAsia" w:ascii="方正仿宋_GBK" w:hAnsi="方正仿宋_GBK" w:eastAsia="方正仿宋_GBK" w:cs="方正仿宋_GBK"/>
                <w:spacing w:val="-4"/>
                <w:sz w:val="18"/>
                <w:szCs w:val="18"/>
              </w:rPr>
              <w:t>申请进口易制毒化学品，需经相关商务主管部门审批，取得进口许可证后，方可从事进口活动。</w:t>
            </w:r>
          </w:p>
          <w:p w14:paraId="6DEE4A0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进口或者过境、转运、通运易制毒化学品的，应当如实向海关申报，并提交进口或者出口许可证。海关凭许可证办理通关手续。</w:t>
            </w:r>
          </w:p>
          <w:p w14:paraId="24D5BAB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pacing w:val="-4"/>
                <w:sz w:val="18"/>
                <w:szCs w:val="18"/>
              </w:rPr>
            </w:pPr>
            <w:r>
              <w:rPr>
                <w:rFonts w:hint="eastAsia" w:ascii="方正仿宋_GBK" w:hAnsi="方正仿宋_GBK" w:eastAsia="方正仿宋_GBK" w:cs="方正仿宋_GBK"/>
                <w:spacing w:val="-4"/>
                <w:sz w:val="18"/>
                <w:szCs w:val="18"/>
              </w:rPr>
              <w:t>进口第一类中的药品类易制毒化学品，还应当提交药品监督管理部门出具的进口药品通关单。</w:t>
            </w:r>
          </w:p>
        </w:tc>
        <w:tc>
          <w:tcPr>
            <w:tcW w:w="5516" w:type="dxa"/>
            <w:vAlign w:val="center"/>
          </w:tcPr>
          <w:p w14:paraId="25ADF84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《易制毒化学品管理条例》第二十六条第一款，第三十条第一款、第四款。</w:t>
            </w:r>
          </w:p>
        </w:tc>
      </w:tr>
      <w:tr w14:paraId="3CD4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56" w:type="dxa"/>
            <w:vAlign w:val="center"/>
          </w:tcPr>
          <w:p w14:paraId="17CD66D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药品检验管理</w:t>
            </w:r>
          </w:p>
        </w:tc>
        <w:tc>
          <w:tcPr>
            <w:tcW w:w="742" w:type="dxa"/>
            <w:vAlign w:val="center"/>
          </w:tcPr>
          <w:p w14:paraId="15DCB94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34</w:t>
            </w:r>
          </w:p>
        </w:tc>
        <w:tc>
          <w:tcPr>
            <w:tcW w:w="8525" w:type="dxa"/>
            <w:vAlign w:val="center"/>
          </w:tcPr>
          <w:p w14:paraId="68156EA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首次在中国境内销售的药品、国务院药品监督管理部门规定的生物制品、国务院规定的其他药品，在销售前或者进口时，应当由指定的药品检验机构进行检验；未经检验或者检验不合格的，不得销售或者进口。</w:t>
            </w:r>
          </w:p>
        </w:tc>
        <w:tc>
          <w:tcPr>
            <w:tcW w:w="5516" w:type="dxa"/>
            <w:vAlign w:val="center"/>
          </w:tcPr>
          <w:p w14:paraId="6C22EC4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《中华人民共和国药品管理法》第六十八条。</w:t>
            </w:r>
          </w:p>
        </w:tc>
      </w:tr>
      <w:tr w14:paraId="5602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56" w:type="dxa"/>
            <w:vMerge w:val="restart"/>
            <w:vAlign w:val="center"/>
          </w:tcPr>
          <w:p w14:paraId="7A54311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药品上市后管理</w:t>
            </w:r>
          </w:p>
        </w:tc>
        <w:tc>
          <w:tcPr>
            <w:tcW w:w="742" w:type="dxa"/>
            <w:vAlign w:val="center"/>
          </w:tcPr>
          <w:p w14:paraId="756102D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35</w:t>
            </w:r>
          </w:p>
        </w:tc>
        <w:tc>
          <w:tcPr>
            <w:tcW w:w="8525" w:type="dxa"/>
            <w:vAlign w:val="center"/>
          </w:tcPr>
          <w:p w14:paraId="2BAF8E7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药品经营企业应当经常考察本单位所经营的药品质量、疗效和不良反应。发现疑似不良反应的，应当及时向药品监督管理部门报告。</w:t>
            </w:r>
          </w:p>
        </w:tc>
        <w:tc>
          <w:tcPr>
            <w:tcW w:w="5516" w:type="dxa"/>
            <w:vAlign w:val="center"/>
          </w:tcPr>
          <w:p w14:paraId="259394B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《中华人民共和国药品管理法》第八十一条第一款。</w:t>
            </w:r>
          </w:p>
        </w:tc>
      </w:tr>
      <w:tr w14:paraId="7C2D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56" w:type="dxa"/>
            <w:vMerge w:val="continue"/>
            <w:vAlign w:val="center"/>
          </w:tcPr>
          <w:p w14:paraId="52C8443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73C1B42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36</w:t>
            </w:r>
          </w:p>
        </w:tc>
        <w:tc>
          <w:tcPr>
            <w:tcW w:w="8525" w:type="dxa"/>
            <w:vAlign w:val="center"/>
          </w:tcPr>
          <w:p w14:paraId="209AE3D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药品存在质量问题或者其他安全隐患的，药品上市许可持有人召回已销售的药品，药品经营企业应当配合。</w:t>
            </w:r>
          </w:p>
        </w:tc>
        <w:tc>
          <w:tcPr>
            <w:tcW w:w="5516" w:type="dxa"/>
            <w:vAlign w:val="center"/>
          </w:tcPr>
          <w:p w14:paraId="60F65F5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《中华人民共和国药品管理法》第八十二条第一款。</w:t>
            </w:r>
          </w:p>
        </w:tc>
      </w:tr>
      <w:tr w14:paraId="0606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56" w:type="dxa"/>
            <w:vMerge w:val="continue"/>
            <w:vAlign w:val="center"/>
          </w:tcPr>
          <w:p w14:paraId="36E1D78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7D375AF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37</w:t>
            </w:r>
          </w:p>
        </w:tc>
        <w:tc>
          <w:tcPr>
            <w:tcW w:w="8525" w:type="dxa"/>
            <w:vAlign w:val="center"/>
          </w:tcPr>
          <w:p w14:paraId="18D8344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不得进口、销售已被注销药品注册证书的药品。</w:t>
            </w:r>
          </w:p>
        </w:tc>
        <w:tc>
          <w:tcPr>
            <w:tcW w:w="5516" w:type="dxa"/>
            <w:vAlign w:val="center"/>
          </w:tcPr>
          <w:p w14:paraId="01AA623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《中华人民共和国药品管理法》第八十三条第三款。</w:t>
            </w:r>
          </w:p>
        </w:tc>
      </w:tr>
      <w:tr w14:paraId="3664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756" w:type="dxa"/>
            <w:vMerge w:val="restart"/>
            <w:vAlign w:val="center"/>
          </w:tcPr>
          <w:p w14:paraId="34E72E2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药品价格</w:t>
            </w:r>
          </w:p>
        </w:tc>
        <w:tc>
          <w:tcPr>
            <w:tcW w:w="742" w:type="dxa"/>
            <w:vAlign w:val="center"/>
          </w:tcPr>
          <w:p w14:paraId="687D13B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38</w:t>
            </w:r>
          </w:p>
        </w:tc>
        <w:tc>
          <w:tcPr>
            <w:tcW w:w="8525" w:type="dxa"/>
            <w:vAlign w:val="center"/>
          </w:tcPr>
          <w:p w14:paraId="4FF027C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依法实行市场调节价的药品，药品经营企业应当按照公平、合理和诚实信用、质价相符的原则制定价格，为用药者提供价格合理的药品。药品经营企业应当遵守国务院药品价格主管部门关于药品价格管理的规定，制定和标明药品零售价格，禁止暴利、价格垄断和价格欺诈等行为。</w:t>
            </w:r>
          </w:p>
        </w:tc>
        <w:tc>
          <w:tcPr>
            <w:tcW w:w="5516" w:type="dxa"/>
            <w:vAlign w:val="center"/>
          </w:tcPr>
          <w:p w14:paraId="492DDAC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《中华人民共和国药品管理法》第八十五条。</w:t>
            </w:r>
          </w:p>
        </w:tc>
      </w:tr>
      <w:tr w14:paraId="6381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6" w:type="dxa"/>
            <w:vMerge w:val="continue"/>
            <w:vAlign w:val="center"/>
          </w:tcPr>
          <w:p w14:paraId="049B4E4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6433652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39</w:t>
            </w:r>
          </w:p>
        </w:tc>
        <w:tc>
          <w:tcPr>
            <w:tcW w:w="8525" w:type="dxa"/>
            <w:vAlign w:val="center"/>
          </w:tcPr>
          <w:p w14:paraId="2E042B4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pacing w:val="-6"/>
                <w:sz w:val="18"/>
                <w:szCs w:val="18"/>
              </w:rPr>
            </w:pPr>
            <w:r>
              <w:rPr>
                <w:rFonts w:hint="eastAsia" w:ascii="方正仿宋_GBK" w:hAnsi="方正仿宋_GBK" w:eastAsia="方正仿宋_GBK" w:cs="方正仿宋_GBK"/>
                <w:spacing w:val="-6"/>
                <w:sz w:val="18"/>
                <w:szCs w:val="18"/>
              </w:rPr>
              <w:t>药品经营企业应当依法向药品价格主管部门提供其药品的实际购销价格和购销数量等资料。</w:t>
            </w:r>
          </w:p>
        </w:tc>
        <w:tc>
          <w:tcPr>
            <w:tcW w:w="5516" w:type="dxa"/>
            <w:vAlign w:val="center"/>
          </w:tcPr>
          <w:p w14:paraId="4318C0A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《中华人民共和国药品管理法》第八十六条。</w:t>
            </w:r>
          </w:p>
        </w:tc>
      </w:tr>
      <w:tr w14:paraId="54AA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56" w:type="dxa"/>
            <w:vMerge w:val="continue"/>
            <w:vAlign w:val="center"/>
          </w:tcPr>
          <w:p w14:paraId="42BD635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792F806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40</w:t>
            </w:r>
          </w:p>
        </w:tc>
        <w:tc>
          <w:tcPr>
            <w:tcW w:w="8525" w:type="dxa"/>
            <w:vAlign w:val="center"/>
          </w:tcPr>
          <w:p w14:paraId="7BF1795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禁止药品经营企业在药品购销中给予、收受回扣或者其他不正当利益。</w:t>
            </w:r>
          </w:p>
          <w:p w14:paraId="73D4A24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禁止药品经营企业或者代理人以任何名义给予使用其药品的医疗机构的负责人、药品采购人员、医师、药师等有关人员财物或者其他不正当利益。</w:t>
            </w:r>
          </w:p>
        </w:tc>
        <w:tc>
          <w:tcPr>
            <w:tcW w:w="5516" w:type="dxa"/>
            <w:vAlign w:val="center"/>
          </w:tcPr>
          <w:p w14:paraId="7E28CB3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《中华人民共和国药品管理法》第八十八条。</w:t>
            </w:r>
          </w:p>
        </w:tc>
      </w:tr>
      <w:tr w14:paraId="7BE7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756" w:type="dxa"/>
            <w:vAlign w:val="center"/>
          </w:tcPr>
          <w:p w14:paraId="369277C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药品储备和供应</w:t>
            </w:r>
          </w:p>
        </w:tc>
        <w:tc>
          <w:tcPr>
            <w:tcW w:w="742" w:type="dxa"/>
            <w:vAlign w:val="center"/>
          </w:tcPr>
          <w:p w14:paraId="62252B4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41</w:t>
            </w:r>
          </w:p>
        </w:tc>
        <w:tc>
          <w:tcPr>
            <w:tcW w:w="8525" w:type="dxa"/>
            <w:vAlign w:val="center"/>
          </w:tcPr>
          <w:p w14:paraId="74DA3C1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药品经营企业应当按照规定保障短缺药品供应。</w:t>
            </w:r>
          </w:p>
        </w:tc>
        <w:tc>
          <w:tcPr>
            <w:tcW w:w="5516" w:type="dxa"/>
            <w:vAlign w:val="center"/>
          </w:tcPr>
          <w:p w14:paraId="768C534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《中华人民共和国药品管理法》第九十七条第二款。</w:t>
            </w:r>
          </w:p>
        </w:tc>
      </w:tr>
      <w:tr w14:paraId="0B39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6" w:type="dxa"/>
            <w:vMerge w:val="restart"/>
            <w:vAlign w:val="center"/>
          </w:tcPr>
          <w:p w14:paraId="2536837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疫苗流通</w:t>
            </w:r>
          </w:p>
        </w:tc>
        <w:tc>
          <w:tcPr>
            <w:tcW w:w="742" w:type="dxa"/>
            <w:vAlign w:val="center"/>
          </w:tcPr>
          <w:p w14:paraId="14C940E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42</w:t>
            </w:r>
          </w:p>
        </w:tc>
        <w:tc>
          <w:tcPr>
            <w:tcW w:w="8525" w:type="dxa"/>
            <w:vAlign w:val="center"/>
          </w:tcPr>
          <w:p w14:paraId="57AF821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疫苗配送单位应当遵守疫苗储存、运输管理规范，保证疫苗质量。</w:t>
            </w:r>
          </w:p>
          <w:p w14:paraId="525FFA8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疫苗在储存、运输全过程中应当处于规定的温度环境，冷链储存、运输应当符合要求，并定时监测、记录温度。</w:t>
            </w:r>
          </w:p>
        </w:tc>
        <w:tc>
          <w:tcPr>
            <w:tcW w:w="5516" w:type="dxa"/>
            <w:vAlign w:val="center"/>
          </w:tcPr>
          <w:p w14:paraId="29A240C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《中华人民共和国疫苗管理法》第三十七条第一款、第二款。</w:t>
            </w:r>
          </w:p>
        </w:tc>
      </w:tr>
      <w:tr w14:paraId="6682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56" w:type="dxa"/>
            <w:vMerge w:val="continue"/>
            <w:vAlign w:val="center"/>
          </w:tcPr>
          <w:p w14:paraId="1E179F4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7CF2D50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43</w:t>
            </w:r>
          </w:p>
        </w:tc>
        <w:tc>
          <w:tcPr>
            <w:tcW w:w="8525" w:type="dxa"/>
            <w:vAlign w:val="center"/>
          </w:tcPr>
          <w:p w14:paraId="3FD93CD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疫苗配送单位应当按照规定，建立真实、准确、完整的接收、储存、配送记录，并保存至疫苗有效期满后不少于五年备查。</w:t>
            </w:r>
          </w:p>
        </w:tc>
        <w:tc>
          <w:tcPr>
            <w:tcW w:w="5516" w:type="dxa"/>
            <w:vAlign w:val="center"/>
          </w:tcPr>
          <w:p w14:paraId="5BE828F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《中华人民共和国疫苗管理法》第三十九条第二款。</w:t>
            </w:r>
          </w:p>
        </w:tc>
      </w:tr>
      <w:tr w14:paraId="2587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56" w:type="dxa"/>
            <w:vMerge w:val="restart"/>
            <w:vAlign w:val="center"/>
          </w:tcPr>
          <w:p w14:paraId="0406BBB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特殊管理药品经营</w:t>
            </w:r>
          </w:p>
        </w:tc>
        <w:tc>
          <w:tcPr>
            <w:tcW w:w="742" w:type="dxa"/>
            <w:vAlign w:val="center"/>
          </w:tcPr>
          <w:p w14:paraId="27AEAC7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44</w:t>
            </w:r>
          </w:p>
        </w:tc>
        <w:tc>
          <w:tcPr>
            <w:tcW w:w="8525" w:type="dxa"/>
            <w:vAlign w:val="center"/>
          </w:tcPr>
          <w:p w14:paraId="4303838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药品经营企业不得经营麻醉药品原料药和第一类精神药品原料药。但是，供医疗、科学研</w:t>
            </w:r>
            <w:r>
              <w:rPr>
                <w:rFonts w:hint="eastAsia" w:ascii="方正仿宋_GBK" w:hAnsi="方正仿宋_GBK" w:eastAsia="方正仿宋_GBK" w:cs="方正仿宋_GBK"/>
                <w:spacing w:val="-6"/>
                <w:sz w:val="18"/>
                <w:szCs w:val="18"/>
              </w:rPr>
              <w:t>究、教学使用的小包装的上述药品可以由国务院药品监督管理部门规定的药品批发企业经营。</w:t>
            </w:r>
          </w:p>
        </w:tc>
        <w:tc>
          <w:tcPr>
            <w:tcW w:w="5516" w:type="dxa"/>
            <w:vAlign w:val="center"/>
          </w:tcPr>
          <w:p w14:paraId="03A0035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《麻醉药品和精神药品管理条例》第二十二条第三款。</w:t>
            </w:r>
          </w:p>
        </w:tc>
      </w:tr>
      <w:tr w14:paraId="1C64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56" w:type="dxa"/>
            <w:vMerge w:val="continue"/>
            <w:vAlign w:val="center"/>
          </w:tcPr>
          <w:p w14:paraId="6288EB0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306B744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45</w:t>
            </w:r>
          </w:p>
        </w:tc>
        <w:tc>
          <w:tcPr>
            <w:tcW w:w="8525" w:type="dxa"/>
            <w:vAlign w:val="center"/>
          </w:tcPr>
          <w:p w14:paraId="3B5F2E7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区域性批发企业向医疗机构销售麻醉药品和第一类精神药品，应当将药品送至医疗机构。不得由医疗机构自行提货。</w:t>
            </w:r>
          </w:p>
        </w:tc>
        <w:tc>
          <w:tcPr>
            <w:tcW w:w="5516" w:type="dxa"/>
            <w:vAlign w:val="center"/>
          </w:tcPr>
          <w:p w14:paraId="3BDF548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《麻醉药品和精神药品管理条例》第二十八条。</w:t>
            </w:r>
          </w:p>
        </w:tc>
      </w:tr>
      <w:tr w14:paraId="4C98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56" w:type="dxa"/>
            <w:vMerge w:val="restart"/>
            <w:vAlign w:val="center"/>
          </w:tcPr>
          <w:p w14:paraId="780D902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特殊管理药品经营</w:t>
            </w:r>
          </w:p>
        </w:tc>
        <w:tc>
          <w:tcPr>
            <w:tcW w:w="742" w:type="dxa"/>
            <w:vAlign w:val="center"/>
          </w:tcPr>
          <w:p w14:paraId="4BFEBC6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46</w:t>
            </w:r>
          </w:p>
        </w:tc>
        <w:tc>
          <w:tcPr>
            <w:tcW w:w="8525" w:type="dxa"/>
            <w:vAlign w:val="center"/>
          </w:tcPr>
          <w:p w14:paraId="0DC370E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麻醉药品和第一类精神药品不得零售。</w:t>
            </w:r>
          </w:p>
          <w:p w14:paraId="583FA10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pacing w:val="-4"/>
                <w:sz w:val="18"/>
                <w:szCs w:val="18"/>
              </w:rPr>
            </w:pPr>
            <w:r>
              <w:rPr>
                <w:rFonts w:hint="eastAsia" w:ascii="方正仿宋_GBK" w:hAnsi="方正仿宋_GBK" w:eastAsia="方正仿宋_GBK" w:cs="方正仿宋_GBK"/>
                <w:spacing w:val="-4"/>
                <w:sz w:val="18"/>
                <w:szCs w:val="18"/>
              </w:rPr>
              <w:t>禁止使用现金进行麻醉药品和精神药品交易，但是个人合法购买麻醉药品和精神药品的除外。</w:t>
            </w:r>
          </w:p>
        </w:tc>
        <w:tc>
          <w:tcPr>
            <w:tcW w:w="5516" w:type="dxa"/>
            <w:vAlign w:val="center"/>
          </w:tcPr>
          <w:p w14:paraId="58714DC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《麻醉药品和精神药品管理条例》第三十条。</w:t>
            </w:r>
          </w:p>
        </w:tc>
      </w:tr>
      <w:tr w14:paraId="21FD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56" w:type="dxa"/>
            <w:vMerge w:val="continue"/>
            <w:vAlign w:val="center"/>
          </w:tcPr>
          <w:p w14:paraId="1ADDA16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13CE523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47</w:t>
            </w:r>
          </w:p>
        </w:tc>
        <w:tc>
          <w:tcPr>
            <w:tcW w:w="8525" w:type="dxa"/>
            <w:vAlign w:val="center"/>
          </w:tcPr>
          <w:p w14:paraId="4F01141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蛋白同化制剂、肽类激素的批发企业只能向医疗机构、蛋白同化制剂、肽类激素的生产企业和其他同类批发企业供应蛋白同化制剂、肽类激素。</w:t>
            </w:r>
          </w:p>
          <w:p w14:paraId="0970504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蛋白同化制剂、肽类激素的进口单位只能向蛋白同化制剂、肽类激素的生产企业、医疗机构和符合本条例第九条规定的药品批发企业供应蛋白同化制剂、肽类激素。</w:t>
            </w:r>
          </w:p>
        </w:tc>
        <w:tc>
          <w:tcPr>
            <w:tcW w:w="5516" w:type="dxa"/>
            <w:vAlign w:val="center"/>
          </w:tcPr>
          <w:p w14:paraId="329DF38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《反兴奋剂条例》第十四条第二款、第三款。</w:t>
            </w:r>
          </w:p>
        </w:tc>
      </w:tr>
      <w:tr w14:paraId="3F15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56" w:type="dxa"/>
            <w:vMerge w:val="continue"/>
            <w:vAlign w:val="center"/>
          </w:tcPr>
          <w:p w14:paraId="1EF0314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1F50911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48</w:t>
            </w:r>
          </w:p>
        </w:tc>
        <w:tc>
          <w:tcPr>
            <w:tcW w:w="8525" w:type="dxa"/>
            <w:vAlign w:val="center"/>
          </w:tcPr>
          <w:p w14:paraId="6641C97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经营毒性药品的单位必须建立健全保管、验收、领发、核对等制度；严防收假、发错，严禁与其他药品混杂，做到划定仓间或仓位，专柜加锁并由专人保管。</w:t>
            </w:r>
          </w:p>
        </w:tc>
        <w:tc>
          <w:tcPr>
            <w:tcW w:w="5516" w:type="dxa"/>
            <w:vAlign w:val="center"/>
          </w:tcPr>
          <w:p w14:paraId="1BECCAF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《医疗用毒性药品管理办法》第六条第一款。</w:t>
            </w:r>
          </w:p>
        </w:tc>
      </w:tr>
      <w:tr w14:paraId="2C27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56" w:type="dxa"/>
            <w:vMerge w:val="continue"/>
            <w:vAlign w:val="center"/>
          </w:tcPr>
          <w:p w14:paraId="794F95A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6E3AB0C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49</w:t>
            </w:r>
          </w:p>
        </w:tc>
        <w:tc>
          <w:tcPr>
            <w:tcW w:w="8525" w:type="dxa"/>
            <w:vAlign w:val="center"/>
          </w:tcPr>
          <w:p w14:paraId="30FA5C8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第一类中的药品类易制毒化学品药品单方制剂，由麻醉药品定点经营企业经销，且不得零售。</w:t>
            </w:r>
          </w:p>
        </w:tc>
        <w:tc>
          <w:tcPr>
            <w:tcW w:w="5516" w:type="dxa"/>
            <w:vAlign w:val="center"/>
          </w:tcPr>
          <w:p w14:paraId="3470127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《易制毒化学品管理条例》第十一条第二款。</w:t>
            </w:r>
          </w:p>
        </w:tc>
      </w:tr>
      <w:tr w14:paraId="1C01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756" w:type="dxa"/>
            <w:vMerge w:val="continue"/>
            <w:vAlign w:val="center"/>
          </w:tcPr>
          <w:p w14:paraId="3F40DD3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568FFF8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50</w:t>
            </w:r>
          </w:p>
        </w:tc>
        <w:tc>
          <w:tcPr>
            <w:tcW w:w="8525" w:type="dxa"/>
            <w:vAlign w:val="center"/>
          </w:tcPr>
          <w:p w14:paraId="273C6F9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经营单位销售第一类易制毒化学品时，应当查验购买许可证和经办人的身份证明。对委托代购的，还应当查验购买人持有的委托文书。</w:t>
            </w:r>
          </w:p>
          <w:p w14:paraId="2AB505A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经营单位在查验无误、留存上述证明材料的复印件后，方可出售第一类易制毒化学品;发现可疑情况的，应当立即向当地公安机关报告。</w:t>
            </w:r>
          </w:p>
        </w:tc>
        <w:tc>
          <w:tcPr>
            <w:tcW w:w="5516" w:type="dxa"/>
            <w:vAlign w:val="center"/>
          </w:tcPr>
          <w:p w14:paraId="1806C90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《易制毒化学品管理条例》第十八条。</w:t>
            </w:r>
          </w:p>
        </w:tc>
      </w:tr>
      <w:tr w14:paraId="2F39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56" w:type="dxa"/>
            <w:vMerge w:val="continue"/>
            <w:vAlign w:val="center"/>
          </w:tcPr>
          <w:p w14:paraId="0618B61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7702C65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51</w:t>
            </w:r>
          </w:p>
        </w:tc>
        <w:tc>
          <w:tcPr>
            <w:tcW w:w="8525" w:type="dxa"/>
            <w:vAlign w:val="center"/>
          </w:tcPr>
          <w:p w14:paraId="446E45F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经营单位应当建立易制毒化学品销售台账，如实记录销售的品种、数量、日期、购买方等情况。销售台账和证明材料复印件应当保存2年备查。</w:t>
            </w:r>
          </w:p>
        </w:tc>
        <w:tc>
          <w:tcPr>
            <w:tcW w:w="5516" w:type="dxa"/>
            <w:vAlign w:val="center"/>
          </w:tcPr>
          <w:p w14:paraId="7AE3F83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《易制毒化学品管理条例》第十九条第一款。</w:t>
            </w:r>
          </w:p>
        </w:tc>
      </w:tr>
      <w:tr w14:paraId="4517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756" w:type="dxa"/>
            <w:vMerge w:val="restart"/>
            <w:vAlign w:val="center"/>
          </w:tcPr>
          <w:p w14:paraId="1A94BEF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特殊管理药品储存、运输管理</w:t>
            </w:r>
          </w:p>
        </w:tc>
        <w:tc>
          <w:tcPr>
            <w:tcW w:w="742" w:type="dxa"/>
            <w:vAlign w:val="center"/>
          </w:tcPr>
          <w:p w14:paraId="74C5A45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52</w:t>
            </w:r>
          </w:p>
        </w:tc>
        <w:tc>
          <w:tcPr>
            <w:tcW w:w="8525" w:type="dxa"/>
            <w:vAlign w:val="center"/>
          </w:tcPr>
          <w:p w14:paraId="0FBD39C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麻醉药品区域性批发企业，应当设置储存麻醉药品和第一类精神药品的专库。该专库应当安装专用防盗门，实行双人双锁管理；具有相应的防火设施；具有监控设施和报警装置，报警装置应当与公安机关报警系统联网。</w:t>
            </w:r>
          </w:p>
        </w:tc>
        <w:tc>
          <w:tcPr>
            <w:tcW w:w="5516" w:type="dxa"/>
            <w:vAlign w:val="center"/>
          </w:tcPr>
          <w:p w14:paraId="7F11CC9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《麻醉药品和精神药品管理条例》第四十六条。</w:t>
            </w:r>
          </w:p>
        </w:tc>
      </w:tr>
      <w:tr w14:paraId="5194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56" w:type="dxa"/>
            <w:vMerge w:val="continue"/>
            <w:vAlign w:val="center"/>
          </w:tcPr>
          <w:p w14:paraId="4FBDF63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5AACD53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53</w:t>
            </w:r>
          </w:p>
        </w:tc>
        <w:tc>
          <w:tcPr>
            <w:tcW w:w="8525" w:type="dxa"/>
            <w:vAlign w:val="center"/>
          </w:tcPr>
          <w:p w14:paraId="56E65F6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麻醉药品区域性批发企业，应当配备专人负责管理工作，并建立储存麻醉药品和第一类精神药品的专用账册。药品入库双人验收，出库双人复核，做到账物相符。专用账册的保存期限应当自药品有效期期满之日起不少于5年。</w:t>
            </w:r>
          </w:p>
        </w:tc>
        <w:tc>
          <w:tcPr>
            <w:tcW w:w="5516" w:type="dxa"/>
            <w:vAlign w:val="center"/>
          </w:tcPr>
          <w:p w14:paraId="4A01D04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《麻醉药品和精神药品管理条例》第四十八条。</w:t>
            </w:r>
          </w:p>
        </w:tc>
      </w:tr>
      <w:tr w14:paraId="7330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6" w:type="dxa"/>
            <w:vMerge w:val="continue"/>
            <w:vAlign w:val="center"/>
          </w:tcPr>
          <w:p w14:paraId="282D208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7A6D9EF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54</w:t>
            </w:r>
          </w:p>
        </w:tc>
        <w:tc>
          <w:tcPr>
            <w:tcW w:w="8525" w:type="dxa"/>
            <w:vAlign w:val="center"/>
          </w:tcPr>
          <w:p w14:paraId="2AE3069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第二类精神药品经营企业应当在药品库房中设立独立的专库或者专柜储存第二类精神药品，并建立专用账册，实行专人管理。专用账册的保存期限应当自药品有效期期满之日起不少于5年。</w:t>
            </w:r>
          </w:p>
        </w:tc>
        <w:tc>
          <w:tcPr>
            <w:tcW w:w="5516" w:type="dxa"/>
            <w:vAlign w:val="center"/>
          </w:tcPr>
          <w:p w14:paraId="2147486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《麻醉药品和精神药品管理条例》第四十九条。</w:t>
            </w:r>
          </w:p>
        </w:tc>
      </w:tr>
      <w:tr w14:paraId="5304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56" w:type="dxa"/>
            <w:vMerge w:val="continue"/>
            <w:vAlign w:val="center"/>
          </w:tcPr>
          <w:p w14:paraId="52A7070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165D697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55</w:t>
            </w:r>
          </w:p>
        </w:tc>
        <w:tc>
          <w:tcPr>
            <w:tcW w:w="8525" w:type="dxa"/>
            <w:vAlign w:val="center"/>
          </w:tcPr>
          <w:p w14:paraId="3ED0AD5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托运、承运和自行运输麻醉药品和精神药品的，应当采取安全保障措施，防止麻醉药品和精神药品在运输过程中被盗、被抢、丢失。</w:t>
            </w:r>
          </w:p>
        </w:tc>
        <w:tc>
          <w:tcPr>
            <w:tcW w:w="5516" w:type="dxa"/>
            <w:vAlign w:val="center"/>
          </w:tcPr>
          <w:p w14:paraId="5E931A1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《麻醉药品和精神药品管理条例》第五十条。</w:t>
            </w:r>
          </w:p>
        </w:tc>
      </w:tr>
      <w:tr w14:paraId="3E99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Merge w:val="continue"/>
            <w:vAlign w:val="center"/>
          </w:tcPr>
          <w:p w14:paraId="38B89B3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434ED0A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56</w:t>
            </w:r>
          </w:p>
        </w:tc>
        <w:tc>
          <w:tcPr>
            <w:tcW w:w="8525" w:type="dxa"/>
            <w:vAlign w:val="center"/>
          </w:tcPr>
          <w:p w14:paraId="30A7437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通过公路或者水路运输麻醉药品和第一类精神药品的，应当由专人负责押运。</w:t>
            </w:r>
          </w:p>
        </w:tc>
        <w:tc>
          <w:tcPr>
            <w:tcW w:w="5516" w:type="dxa"/>
            <w:vAlign w:val="center"/>
          </w:tcPr>
          <w:p w14:paraId="0842E8A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《麻醉药品和精神药品管理条例》第五十一条第二款。</w:t>
            </w:r>
          </w:p>
        </w:tc>
      </w:tr>
      <w:tr w14:paraId="340E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6" w:type="dxa"/>
            <w:vMerge w:val="continue"/>
            <w:vAlign w:val="center"/>
          </w:tcPr>
          <w:p w14:paraId="47C003B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2FA219F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57</w:t>
            </w:r>
          </w:p>
        </w:tc>
        <w:tc>
          <w:tcPr>
            <w:tcW w:w="8525" w:type="dxa"/>
            <w:vAlign w:val="center"/>
          </w:tcPr>
          <w:p w14:paraId="6EF5634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托运或者自行运输麻醉药品和第一类精神药品的单位，应当向所在地市级负责药品监督管理的部门申请领取运输证明。</w:t>
            </w:r>
          </w:p>
          <w:p w14:paraId="366FA09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运输证明应当由专人保管，不得涂改、转让、转借。</w:t>
            </w:r>
          </w:p>
        </w:tc>
        <w:tc>
          <w:tcPr>
            <w:tcW w:w="5516" w:type="dxa"/>
            <w:vAlign w:val="center"/>
          </w:tcPr>
          <w:p w14:paraId="2CBEA87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《麻醉药品和精神药品管理条例》第五十二条。</w:t>
            </w:r>
          </w:p>
        </w:tc>
      </w:tr>
      <w:tr w14:paraId="7C7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6" w:type="dxa"/>
            <w:vMerge w:val="continue"/>
            <w:vAlign w:val="center"/>
          </w:tcPr>
          <w:p w14:paraId="2E8B91F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535F3C9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58</w:t>
            </w:r>
          </w:p>
        </w:tc>
        <w:tc>
          <w:tcPr>
            <w:tcW w:w="8525" w:type="dxa"/>
            <w:vAlign w:val="center"/>
          </w:tcPr>
          <w:p w14:paraId="08F6B24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托运人办理麻醉药品和第一类精神药品运输手续，应当将运输证明副本交付承运人。承运人应当查验、收存运输证明副本，并检查货物包装。没有运输证明或者货物包装不符合规定的，承运人不得承运。</w:t>
            </w:r>
          </w:p>
          <w:p w14:paraId="0F48256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承运人在运输过程中应当携带运输证明副本，以备查验。</w:t>
            </w:r>
          </w:p>
        </w:tc>
        <w:tc>
          <w:tcPr>
            <w:tcW w:w="5516" w:type="dxa"/>
            <w:vAlign w:val="center"/>
          </w:tcPr>
          <w:p w14:paraId="1A3FB19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《麻醉药品和精神药品管理条例》第五十三条。</w:t>
            </w:r>
          </w:p>
        </w:tc>
      </w:tr>
      <w:tr w14:paraId="5331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6" w:type="dxa"/>
            <w:vMerge w:val="restart"/>
            <w:vAlign w:val="center"/>
          </w:tcPr>
          <w:p w14:paraId="61324E9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特殊管理药品储存、运输管理</w:t>
            </w:r>
          </w:p>
        </w:tc>
        <w:tc>
          <w:tcPr>
            <w:tcW w:w="742" w:type="dxa"/>
            <w:vAlign w:val="center"/>
          </w:tcPr>
          <w:p w14:paraId="7B23B12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59</w:t>
            </w:r>
          </w:p>
        </w:tc>
        <w:tc>
          <w:tcPr>
            <w:tcW w:w="8525" w:type="dxa"/>
            <w:vAlign w:val="center"/>
          </w:tcPr>
          <w:p w14:paraId="55BCF07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邮寄麻醉药品和精神药品，寄件人应当提交所在地市级负责药品监督管理的部门出具的准予邮寄证明。</w:t>
            </w:r>
          </w:p>
        </w:tc>
        <w:tc>
          <w:tcPr>
            <w:tcW w:w="5516" w:type="dxa"/>
            <w:vAlign w:val="center"/>
          </w:tcPr>
          <w:p w14:paraId="3F99140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《麻醉药品和精神药品管理条例》第五十四条第一款。</w:t>
            </w:r>
          </w:p>
        </w:tc>
      </w:tr>
      <w:tr w14:paraId="43D2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56" w:type="dxa"/>
            <w:vMerge w:val="continue"/>
            <w:vAlign w:val="center"/>
          </w:tcPr>
          <w:p w14:paraId="0640C0F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21FDC43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60</w:t>
            </w:r>
          </w:p>
        </w:tc>
        <w:tc>
          <w:tcPr>
            <w:tcW w:w="8525" w:type="dxa"/>
            <w:vAlign w:val="center"/>
          </w:tcPr>
          <w:p w14:paraId="00CCC9C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麻醉药品和精神药品经营企业对过期、损坏的麻醉药品和精神药品应当登记造册，并向所在地县级负责药品监督管理的部门申请销毁。</w:t>
            </w:r>
          </w:p>
        </w:tc>
        <w:tc>
          <w:tcPr>
            <w:tcW w:w="5516" w:type="dxa"/>
            <w:vAlign w:val="center"/>
          </w:tcPr>
          <w:p w14:paraId="3024FCA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《麻醉药品和精神药品管理条例》第六十一条第一款。</w:t>
            </w:r>
          </w:p>
        </w:tc>
      </w:tr>
      <w:tr w14:paraId="7180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56" w:type="dxa"/>
            <w:vMerge w:val="continue"/>
            <w:vAlign w:val="center"/>
          </w:tcPr>
          <w:p w14:paraId="1673CCA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797E15C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61</w:t>
            </w:r>
          </w:p>
        </w:tc>
        <w:tc>
          <w:tcPr>
            <w:tcW w:w="8525" w:type="dxa"/>
            <w:vAlign w:val="center"/>
          </w:tcPr>
          <w:p w14:paraId="5378C04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发生麻醉药品和精神药品被盗、被抢、丢失或者其他流入非法渠道的情形的，应当立即采取必要的控制措施，同时报告所在地县级公安机关和负责药品监督管理的部门。</w:t>
            </w:r>
          </w:p>
        </w:tc>
        <w:tc>
          <w:tcPr>
            <w:tcW w:w="5516" w:type="dxa"/>
            <w:vAlign w:val="center"/>
          </w:tcPr>
          <w:p w14:paraId="2B55154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《麻醉药品和精神药品管理条例》第六十四条第一款。</w:t>
            </w:r>
          </w:p>
        </w:tc>
      </w:tr>
      <w:tr w14:paraId="5B66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56" w:type="dxa"/>
            <w:vMerge w:val="continue"/>
            <w:vAlign w:val="center"/>
          </w:tcPr>
          <w:p w14:paraId="794C9A2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52CBFFA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62</w:t>
            </w:r>
          </w:p>
        </w:tc>
        <w:tc>
          <w:tcPr>
            <w:tcW w:w="8525" w:type="dxa"/>
            <w:vAlign w:val="center"/>
          </w:tcPr>
          <w:p w14:paraId="19045A0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蛋白同化制剂、肽类激素的验收、检查、保管、销售和出入库登记记录应当保存至超过蛋白同化制剂、肽类激素有效期2年。</w:t>
            </w:r>
          </w:p>
        </w:tc>
        <w:tc>
          <w:tcPr>
            <w:tcW w:w="5516" w:type="dxa"/>
            <w:vAlign w:val="center"/>
          </w:tcPr>
          <w:p w14:paraId="6BAC980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《反兴奋剂条例》第九条第二款。</w:t>
            </w:r>
          </w:p>
        </w:tc>
      </w:tr>
      <w:tr w14:paraId="0B99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56" w:type="dxa"/>
            <w:vMerge w:val="continue"/>
            <w:vAlign w:val="center"/>
          </w:tcPr>
          <w:p w14:paraId="75123DD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4679175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63</w:t>
            </w:r>
          </w:p>
        </w:tc>
        <w:tc>
          <w:tcPr>
            <w:tcW w:w="8525" w:type="dxa"/>
            <w:vAlign w:val="center"/>
          </w:tcPr>
          <w:p w14:paraId="127E307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放射性药品的运输，按国家运输、邮政等部门制订的有关规定执行。严禁任何单位和个人随身携带放射性药品乘坐公共交通运输工具。</w:t>
            </w:r>
          </w:p>
        </w:tc>
        <w:tc>
          <w:tcPr>
            <w:tcW w:w="5516" w:type="dxa"/>
            <w:vAlign w:val="center"/>
          </w:tcPr>
          <w:p w14:paraId="3475C55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《放射性药品管理办法》第十九条。</w:t>
            </w:r>
          </w:p>
        </w:tc>
      </w:tr>
      <w:tr w14:paraId="412A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56" w:type="dxa"/>
            <w:vMerge w:val="continue"/>
            <w:vAlign w:val="center"/>
          </w:tcPr>
          <w:p w14:paraId="0DB4462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13EFA7D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64</w:t>
            </w:r>
          </w:p>
        </w:tc>
        <w:tc>
          <w:tcPr>
            <w:tcW w:w="8525" w:type="dxa"/>
            <w:vAlign w:val="center"/>
          </w:tcPr>
          <w:p w14:paraId="1FB625E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跨设区的市级行政区域或者在国务院公安部门确定的禁毒形势严峻的重点地区跨县级行政区域运输易制毒化学品的，需经相关公安机关审批取得易制毒化学品运输许可证或备案证明后，方可运输。</w:t>
            </w:r>
          </w:p>
        </w:tc>
        <w:tc>
          <w:tcPr>
            <w:tcW w:w="5516" w:type="dxa"/>
            <w:vAlign w:val="center"/>
          </w:tcPr>
          <w:p w14:paraId="1A6AE65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《易制毒化学品管理条例》第二十条。</w:t>
            </w:r>
          </w:p>
        </w:tc>
      </w:tr>
      <w:tr w14:paraId="799F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56" w:type="dxa"/>
            <w:vMerge w:val="restart"/>
            <w:vAlign w:val="center"/>
          </w:tcPr>
          <w:p w14:paraId="74934DA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监督检查</w:t>
            </w:r>
          </w:p>
        </w:tc>
        <w:tc>
          <w:tcPr>
            <w:tcW w:w="742" w:type="dxa"/>
            <w:vAlign w:val="center"/>
          </w:tcPr>
          <w:p w14:paraId="1A3FC12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65</w:t>
            </w:r>
          </w:p>
        </w:tc>
        <w:tc>
          <w:tcPr>
            <w:tcW w:w="8525" w:type="dxa"/>
            <w:vAlign w:val="center"/>
          </w:tcPr>
          <w:p w14:paraId="1017C27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对药品监督管理部门应当依法开展监督检查、延伸检查等，有关单位和个人应当予以配合，不得拒绝和隐瞒。</w:t>
            </w:r>
          </w:p>
        </w:tc>
        <w:tc>
          <w:tcPr>
            <w:tcW w:w="5516" w:type="dxa"/>
            <w:vAlign w:val="center"/>
          </w:tcPr>
          <w:p w14:paraId="2DF080B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《中华人民共和国药品管理法》第九十九条第一款。</w:t>
            </w:r>
          </w:p>
        </w:tc>
      </w:tr>
      <w:tr w14:paraId="7C63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56" w:type="dxa"/>
            <w:vMerge w:val="continue"/>
            <w:vAlign w:val="center"/>
          </w:tcPr>
          <w:p w14:paraId="280441B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4234FAF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66</w:t>
            </w:r>
          </w:p>
        </w:tc>
        <w:tc>
          <w:tcPr>
            <w:tcW w:w="8525" w:type="dxa"/>
            <w:vAlign w:val="center"/>
          </w:tcPr>
          <w:p w14:paraId="7CE26F3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企业应当积极配合药品监督管理部门实施的监督检查，如实提供与被检查事项有关的物品和记录、凭证等资料，不得以任何理由拒绝、逃避监督检查，不得伪造、销毁、隐匿有关证据材料，不得擅自动用查封、扣押物品。</w:t>
            </w:r>
          </w:p>
        </w:tc>
        <w:tc>
          <w:tcPr>
            <w:tcW w:w="5516" w:type="dxa"/>
            <w:vAlign w:val="center"/>
          </w:tcPr>
          <w:p w14:paraId="71ADC82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《药品经营和使用质量监督管理办法》第六十五条。</w:t>
            </w:r>
          </w:p>
        </w:tc>
      </w:tr>
    </w:tbl>
    <w:p w14:paraId="424135FB">
      <w:pPr>
        <w:rPr>
          <w:rFonts w:ascii="Times New Roman" w:hAnsi="Times New Roman"/>
        </w:rPr>
      </w:pPr>
    </w:p>
    <w:tbl>
      <w:tblPr>
        <w:tblStyle w:val="9"/>
        <w:tblW w:w="15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42"/>
        <w:gridCol w:w="8525"/>
        <w:gridCol w:w="5515"/>
      </w:tblGrid>
      <w:tr w14:paraId="5246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jc w:val="center"/>
        </w:trPr>
        <w:tc>
          <w:tcPr>
            <w:tcW w:w="760" w:type="dxa"/>
            <w:vAlign w:val="center"/>
          </w:tcPr>
          <w:p w14:paraId="747EB746">
            <w:pPr>
              <w:snapToGrid w:val="0"/>
              <w:spacing w:line="400" w:lineRule="exact"/>
              <w:jc w:val="center"/>
              <w:rPr>
                <w:rFonts w:eastAsia="方正黑体_GBK" w:cs="宋体"/>
                <w:bCs/>
                <w:sz w:val="18"/>
                <w:szCs w:val="18"/>
              </w:rPr>
            </w:pPr>
            <w:r>
              <w:rPr>
                <w:rFonts w:hint="eastAsia" w:eastAsia="方正黑体_GBK" w:cs="宋体"/>
                <w:bCs/>
                <w:sz w:val="18"/>
                <w:szCs w:val="18"/>
              </w:rPr>
              <w:t>表11</w:t>
            </w:r>
          </w:p>
        </w:tc>
        <w:tc>
          <w:tcPr>
            <w:tcW w:w="14782" w:type="dxa"/>
            <w:gridSpan w:val="3"/>
            <w:vAlign w:val="center"/>
          </w:tcPr>
          <w:p w14:paraId="22B81FBC">
            <w:pPr>
              <w:snapToGrid w:val="0"/>
              <w:spacing w:line="400" w:lineRule="exact"/>
              <w:jc w:val="center"/>
              <w:rPr>
                <w:rFonts w:eastAsia="方正黑体_GBK" w:cs="宋体"/>
                <w:bCs/>
                <w:sz w:val="18"/>
                <w:szCs w:val="18"/>
              </w:rPr>
            </w:pPr>
            <w:r>
              <w:rPr>
                <w:rFonts w:hint="eastAsia" w:eastAsia="方正黑体_GBK" w:cs="仿宋_GB2312"/>
                <w:bCs/>
                <w:sz w:val="18"/>
                <w:szCs w:val="18"/>
              </w:rPr>
              <w:t>药品零售连锁总部主体责任清单</w:t>
            </w:r>
          </w:p>
        </w:tc>
      </w:tr>
      <w:tr w14:paraId="16AD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760" w:type="dxa"/>
            <w:vAlign w:val="center"/>
          </w:tcPr>
          <w:p w14:paraId="6406889E">
            <w:pPr>
              <w:snapToGrid w:val="0"/>
              <w:spacing w:line="400" w:lineRule="exact"/>
              <w:jc w:val="center"/>
              <w:rPr>
                <w:rFonts w:eastAsia="方正黑体_GBK" w:cs="宋体"/>
                <w:bCs/>
                <w:sz w:val="18"/>
                <w:szCs w:val="18"/>
              </w:rPr>
            </w:pPr>
            <w:r>
              <w:rPr>
                <w:rFonts w:hint="eastAsia" w:eastAsia="方正黑体_GBK" w:cs="宋体"/>
                <w:bCs/>
                <w:sz w:val="18"/>
                <w:szCs w:val="18"/>
              </w:rPr>
              <w:t>分类</w:t>
            </w:r>
          </w:p>
        </w:tc>
        <w:tc>
          <w:tcPr>
            <w:tcW w:w="742" w:type="dxa"/>
            <w:vAlign w:val="center"/>
          </w:tcPr>
          <w:p w14:paraId="148B3734">
            <w:pPr>
              <w:snapToGrid w:val="0"/>
              <w:spacing w:line="400" w:lineRule="exact"/>
              <w:jc w:val="center"/>
              <w:rPr>
                <w:rFonts w:eastAsia="方正黑体_GBK" w:cs="宋体"/>
                <w:bCs/>
                <w:sz w:val="18"/>
                <w:szCs w:val="18"/>
              </w:rPr>
            </w:pPr>
            <w:r>
              <w:rPr>
                <w:rFonts w:hint="eastAsia" w:eastAsia="方正黑体_GBK" w:cs="宋体"/>
                <w:bCs/>
                <w:sz w:val="18"/>
                <w:szCs w:val="18"/>
              </w:rPr>
              <w:t>序号</w:t>
            </w:r>
          </w:p>
        </w:tc>
        <w:tc>
          <w:tcPr>
            <w:tcW w:w="8525" w:type="dxa"/>
            <w:vAlign w:val="center"/>
          </w:tcPr>
          <w:p w14:paraId="1859E394">
            <w:pPr>
              <w:snapToGrid w:val="0"/>
              <w:spacing w:line="400" w:lineRule="exact"/>
              <w:jc w:val="center"/>
              <w:rPr>
                <w:rFonts w:eastAsia="方正黑体_GBK" w:cs="宋体"/>
                <w:bCs/>
                <w:sz w:val="18"/>
                <w:szCs w:val="18"/>
              </w:rPr>
            </w:pPr>
            <w:r>
              <w:rPr>
                <w:rFonts w:hint="eastAsia" w:eastAsia="方正黑体_GBK" w:cs="宋体"/>
                <w:bCs/>
                <w:sz w:val="18"/>
                <w:szCs w:val="18"/>
              </w:rPr>
              <w:t>主体责任</w:t>
            </w:r>
          </w:p>
        </w:tc>
        <w:tc>
          <w:tcPr>
            <w:tcW w:w="5515" w:type="dxa"/>
            <w:vAlign w:val="center"/>
          </w:tcPr>
          <w:p w14:paraId="033F715F">
            <w:pPr>
              <w:snapToGrid w:val="0"/>
              <w:spacing w:line="400" w:lineRule="exact"/>
              <w:jc w:val="center"/>
              <w:rPr>
                <w:rFonts w:eastAsia="方正黑体_GBK" w:cs="宋体"/>
                <w:bCs/>
                <w:sz w:val="18"/>
                <w:szCs w:val="18"/>
              </w:rPr>
            </w:pPr>
            <w:r>
              <w:rPr>
                <w:rFonts w:hint="eastAsia" w:eastAsia="方正黑体_GBK" w:cs="宋体"/>
                <w:bCs/>
                <w:sz w:val="18"/>
                <w:szCs w:val="18"/>
              </w:rPr>
              <w:t>责任依据</w:t>
            </w:r>
          </w:p>
        </w:tc>
      </w:tr>
      <w:tr w14:paraId="497E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60" w:type="dxa"/>
            <w:vAlign w:val="center"/>
          </w:tcPr>
          <w:p w14:paraId="33AE51A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基本原则</w:t>
            </w:r>
          </w:p>
        </w:tc>
        <w:tc>
          <w:tcPr>
            <w:tcW w:w="742" w:type="dxa"/>
            <w:vAlign w:val="center"/>
          </w:tcPr>
          <w:p w14:paraId="2B4D013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w:t>
            </w:r>
          </w:p>
        </w:tc>
        <w:tc>
          <w:tcPr>
            <w:tcW w:w="8525" w:type="dxa"/>
            <w:vAlign w:val="center"/>
          </w:tcPr>
          <w:p w14:paraId="32EBE8E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从事药品经营活动，应当遵守法律、法规、规章、标准和规范，保证全过程信息真实、准确、完整和可追溯。</w:t>
            </w:r>
          </w:p>
        </w:tc>
        <w:tc>
          <w:tcPr>
            <w:tcW w:w="5515" w:type="dxa"/>
            <w:vAlign w:val="center"/>
          </w:tcPr>
          <w:p w14:paraId="0F0B549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《中华人民共和国药品管理法》第七条。</w:t>
            </w:r>
          </w:p>
        </w:tc>
      </w:tr>
      <w:tr w14:paraId="0ECF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60" w:type="dxa"/>
            <w:vMerge w:val="restart"/>
            <w:vAlign w:val="center"/>
          </w:tcPr>
          <w:p w14:paraId="46F562C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许可管理</w:t>
            </w:r>
          </w:p>
        </w:tc>
        <w:tc>
          <w:tcPr>
            <w:tcW w:w="742" w:type="dxa"/>
            <w:vAlign w:val="center"/>
          </w:tcPr>
          <w:p w14:paraId="0187715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w:t>
            </w:r>
          </w:p>
        </w:tc>
        <w:tc>
          <w:tcPr>
            <w:tcW w:w="8525" w:type="dxa"/>
            <w:vAlign w:val="center"/>
          </w:tcPr>
          <w:p w14:paraId="1EB316E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从事药品零售活动，应当经所在地县级以上负责药品监督管理的部门批准，取得药品经营许可证。无药品经营许可证的，不得经营药品。</w:t>
            </w:r>
          </w:p>
        </w:tc>
        <w:tc>
          <w:tcPr>
            <w:tcW w:w="5515" w:type="dxa"/>
            <w:vAlign w:val="center"/>
          </w:tcPr>
          <w:p w14:paraId="380AD83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《中华人民共和国药品管理法》第五十一条。</w:t>
            </w:r>
          </w:p>
        </w:tc>
      </w:tr>
      <w:tr w14:paraId="239B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760" w:type="dxa"/>
            <w:vMerge w:val="continue"/>
            <w:vAlign w:val="center"/>
          </w:tcPr>
          <w:p w14:paraId="3739494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7E2BD6C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w:t>
            </w:r>
          </w:p>
        </w:tc>
        <w:tc>
          <w:tcPr>
            <w:tcW w:w="8525" w:type="dxa"/>
            <w:vAlign w:val="center"/>
          </w:tcPr>
          <w:p w14:paraId="08EEE94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从事药品经营活动应当具有依法经过资格认定的药师或者其他药学技术人员；有与所经营药品相适应的营业场所、设备、仓储设施和卫生环境；有与所经营药品相适应的质量管理机构或者人员；有保证药品质量的规章制度，并符合国务院药品监督管理部门依据本法制定的药品经营质量管理规范要求。</w:t>
            </w:r>
          </w:p>
        </w:tc>
        <w:tc>
          <w:tcPr>
            <w:tcW w:w="5515" w:type="dxa"/>
            <w:vAlign w:val="center"/>
          </w:tcPr>
          <w:p w14:paraId="540A3DF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《中华人民共和国药品管理法》第五十二条。</w:t>
            </w:r>
          </w:p>
        </w:tc>
      </w:tr>
      <w:tr w14:paraId="1546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jc w:val="center"/>
        </w:trPr>
        <w:tc>
          <w:tcPr>
            <w:tcW w:w="760" w:type="dxa"/>
            <w:vMerge w:val="continue"/>
            <w:vAlign w:val="center"/>
          </w:tcPr>
          <w:p w14:paraId="248FC4C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65C4737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w:t>
            </w:r>
          </w:p>
        </w:tc>
        <w:tc>
          <w:tcPr>
            <w:tcW w:w="8525" w:type="dxa"/>
            <w:vAlign w:val="center"/>
          </w:tcPr>
          <w:p w14:paraId="638C37A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从事药品零售连锁经营活动的，应当设立药品零售连锁总部，对零售门店进行统一管理。</w:t>
            </w:r>
          </w:p>
          <w:p w14:paraId="7FA8F6F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零售连锁总部应当具有与其经营范围相适应的质量管理机构和人员；企业法定代表人、主要负责人、质量负责人、质量管理部门负责人等符合规定的条件；药品零售连锁总部应当具有依法经过资格认定的药师或者其他药学技术人员；药品零售连锁总部应当具有保证药品质量的质量管理制度以及覆盖药品经营、质量控制和追溯全过程的信息管理系统，并符合药品经营质量管理规范要求。</w:t>
            </w:r>
          </w:p>
          <w:p w14:paraId="0F97B55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pacing w:val="-6"/>
                <w:sz w:val="18"/>
                <w:szCs w:val="18"/>
              </w:rPr>
            </w:pPr>
            <w:r>
              <w:rPr>
                <w:rFonts w:hint="eastAsia" w:ascii="方正仿宋_GBK" w:hAnsi="方正仿宋_GBK" w:eastAsia="方正仿宋_GBK" w:cs="方正仿宋_GBK"/>
                <w:spacing w:val="-6"/>
                <w:sz w:val="18"/>
                <w:szCs w:val="18"/>
              </w:rPr>
              <w:t>药品零售连锁总部应具备能够保证药品质量、与其经营品种和规模相适应的仓库、配送场所和设施设备。</w:t>
            </w:r>
          </w:p>
        </w:tc>
        <w:tc>
          <w:tcPr>
            <w:tcW w:w="5515" w:type="dxa"/>
            <w:vAlign w:val="center"/>
          </w:tcPr>
          <w:p w14:paraId="2EB34E2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《药品经营和使用质量监督管理办法》第九条。</w:t>
            </w:r>
          </w:p>
        </w:tc>
      </w:tr>
      <w:tr w14:paraId="2138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760" w:type="dxa"/>
            <w:vMerge w:val="continue"/>
            <w:vAlign w:val="center"/>
          </w:tcPr>
          <w:p w14:paraId="4A35EC2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02E82F1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8525" w:type="dxa"/>
            <w:vAlign w:val="center"/>
          </w:tcPr>
          <w:p w14:paraId="3B72A9E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开办药品零售连锁总部，应当在取得营业执照后，向所在地县级以上药品监督管理部门申请药品经营许可证。</w:t>
            </w:r>
          </w:p>
        </w:tc>
        <w:tc>
          <w:tcPr>
            <w:tcW w:w="5515" w:type="dxa"/>
            <w:vAlign w:val="center"/>
          </w:tcPr>
          <w:p w14:paraId="43F16B4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《药品经营和使用质量监督管理办法》第十一条。</w:t>
            </w:r>
          </w:p>
        </w:tc>
      </w:tr>
      <w:tr w14:paraId="20C2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760" w:type="dxa"/>
            <w:vMerge w:val="restart"/>
            <w:vAlign w:val="center"/>
          </w:tcPr>
          <w:p w14:paraId="786F7E2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许可管理</w:t>
            </w:r>
          </w:p>
        </w:tc>
        <w:tc>
          <w:tcPr>
            <w:tcW w:w="742" w:type="dxa"/>
            <w:vAlign w:val="center"/>
          </w:tcPr>
          <w:p w14:paraId="4AEC891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8525" w:type="dxa"/>
            <w:vAlign w:val="center"/>
          </w:tcPr>
          <w:p w14:paraId="12D3155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药品零售连锁总部应当在药品经营许可证有效期届满前六个月至两个月期间，向发证机关提出重新审查发证申请。</w:t>
            </w:r>
          </w:p>
        </w:tc>
        <w:tc>
          <w:tcPr>
            <w:tcW w:w="5515" w:type="dxa"/>
            <w:vAlign w:val="center"/>
          </w:tcPr>
          <w:p w14:paraId="3E18503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《药品经营和使用质量监督管理办法》第二十六条。</w:t>
            </w:r>
          </w:p>
        </w:tc>
      </w:tr>
      <w:tr w14:paraId="7F26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60" w:type="dxa"/>
            <w:vMerge w:val="continue"/>
            <w:vAlign w:val="center"/>
          </w:tcPr>
          <w:p w14:paraId="4BA5D08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1987E81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w:t>
            </w:r>
          </w:p>
        </w:tc>
        <w:tc>
          <w:tcPr>
            <w:tcW w:w="8525" w:type="dxa"/>
            <w:vAlign w:val="center"/>
          </w:tcPr>
          <w:p w14:paraId="5B6D59E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药品零售连锁总部从事药品经营活动，应当建立统一的质量管理制度，对所属零售企业的经营活动履行管理责任，保证药品经营全过程持续符合法定要求。</w:t>
            </w:r>
          </w:p>
        </w:tc>
        <w:tc>
          <w:tcPr>
            <w:tcW w:w="5515" w:type="dxa"/>
            <w:vAlign w:val="center"/>
          </w:tcPr>
          <w:p w14:paraId="446964B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《中华人民共和国药品管理法》第五十三条。</w:t>
            </w:r>
          </w:p>
        </w:tc>
      </w:tr>
      <w:tr w14:paraId="179C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60" w:type="dxa"/>
            <w:vMerge w:val="restart"/>
            <w:vAlign w:val="center"/>
          </w:tcPr>
          <w:p w14:paraId="3B8F437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药品经营管理</w:t>
            </w:r>
          </w:p>
        </w:tc>
        <w:tc>
          <w:tcPr>
            <w:tcW w:w="742" w:type="dxa"/>
            <w:vAlign w:val="center"/>
          </w:tcPr>
          <w:p w14:paraId="42B74DA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8525" w:type="dxa"/>
            <w:vAlign w:val="center"/>
          </w:tcPr>
          <w:p w14:paraId="3BD62ED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药品零售连锁总部的法定代表人、主要负责人对本企业的药品经营活动全面负责。</w:t>
            </w:r>
          </w:p>
          <w:p w14:paraId="2101B7D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零售连锁总部的主要负责人、质量负责人应当符合药品经营质量管理规范规定的条件。主要负责人全面负责企业日常管理，负责配备专门的质量负责人；质量负责人全面负责药品质量管理工作，保证药品质量。</w:t>
            </w:r>
          </w:p>
        </w:tc>
        <w:tc>
          <w:tcPr>
            <w:tcW w:w="5515" w:type="dxa"/>
            <w:vAlign w:val="center"/>
          </w:tcPr>
          <w:p w14:paraId="5637AF5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《中华人民共和国药品管理法》第五十三条；《药品经营和使用质量监督管理办法》第三十三条。</w:t>
            </w:r>
          </w:p>
        </w:tc>
      </w:tr>
      <w:tr w14:paraId="7BB1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760" w:type="dxa"/>
            <w:vMerge w:val="continue"/>
            <w:vAlign w:val="center"/>
          </w:tcPr>
          <w:p w14:paraId="4426B83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43B3B31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9</w:t>
            </w:r>
          </w:p>
        </w:tc>
        <w:tc>
          <w:tcPr>
            <w:tcW w:w="8525" w:type="dxa"/>
            <w:vAlign w:val="center"/>
          </w:tcPr>
          <w:p w14:paraId="02283C2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药品零售连锁总部从事药品经营活动的，应当遵守药品经营质量管理规范，按照药品经营许可证载明的经营方式和经营范围，在药品监督管理部门核准的地址销售、储存药品，保证药品经营全过程符合法定要求。</w:t>
            </w:r>
          </w:p>
          <w:p w14:paraId="306FF62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药品零售连锁总部应当建立覆盖药品经营全过程的质量管理体系。购销记录以及储存条件、运输过程、质量控制等记录应当完整准确，不得编造和篡改。</w:t>
            </w:r>
          </w:p>
        </w:tc>
        <w:tc>
          <w:tcPr>
            <w:tcW w:w="5515" w:type="dxa"/>
            <w:vAlign w:val="center"/>
          </w:tcPr>
          <w:p w14:paraId="567DE82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《药品经营和使用质量监督管理办法》第三十一条。</w:t>
            </w:r>
          </w:p>
        </w:tc>
      </w:tr>
      <w:tr w14:paraId="3471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60" w:type="dxa"/>
            <w:vMerge w:val="continue"/>
            <w:vAlign w:val="center"/>
          </w:tcPr>
          <w:p w14:paraId="5288FAA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6E16C10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8525" w:type="dxa"/>
            <w:vAlign w:val="center"/>
          </w:tcPr>
          <w:p w14:paraId="61D4CBF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药品零售连锁总部应当加强药品采购、销售人员的管理，对其进行法律、法规、规章、标准、规范和专业知识培训，并对其药品经营行为承担法律责任。</w:t>
            </w:r>
          </w:p>
        </w:tc>
        <w:tc>
          <w:tcPr>
            <w:tcW w:w="5515" w:type="dxa"/>
            <w:vAlign w:val="center"/>
          </w:tcPr>
          <w:p w14:paraId="23E75EA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《药品经营和使用质量监督管理办法》第三十七条。</w:t>
            </w:r>
          </w:p>
        </w:tc>
      </w:tr>
      <w:tr w14:paraId="2C93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jc w:val="center"/>
        </w:trPr>
        <w:tc>
          <w:tcPr>
            <w:tcW w:w="760" w:type="dxa"/>
            <w:vMerge w:val="restart"/>
            <w:vAlign w:val="center"/>
          </w:tcPr>
          <w:p w14:paraId="7AE879E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药品经营管理</w:t>
            </w:r>
          </w:p>
        </w:tc>
        <w:tc>
          <w:tcPr>
            <w:tcW w:w="742" w:type="dxa"/>
            <w:vAlign w:val="center"/>
          </w:tcPr>
          <w:p w14:paraId="447CF08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11</w:t>
            </w:r>
          </w:p>
        </w:tc>
        <w:tc>
          <w:tcPr>
            <w:tcW w:w="8525" w:type="dxa"/>
            <w:vAlign w:val="center"/>
          </w:tcPr>
          <w:p w14:paraId="3E642174">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pacing w:val="-4"/>
                <w:sz w:val="18"/>
                <w:szCs w:val="18"/>
              </w:rPr>
            </w:pPr>
            <w:r>
              <w:rPr>
                <w:rFonts w:hint="eastAsia" w:ascii="方正仿宋_GBK" w:hAnsi="方正仿宋_GBK" w:eastAsia="方正仿宋_GBK" w:cs="方正仿宋_GBK"/>
                <w:spacing w:val="-4"/>
                <w:sz w:val="18"/>
                <w:szCs w:val="18"/>
              </w:rPr>
              <w:t>药品零售连锁总部应当从药品上市许可持有人或者具有药品生产、经营资格的企业购进药品。</w:t>
            </w:r>
          </w:p>
          <w:p w14:paraId="37EAC6D0">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药品零售连锁总部采购药品时，应当索取、查验、留存供货方的有关材料和凭证：（一）药品生产许可证、药品经营许可证复印件；</w:t>
            </w:r>
          </w:p>
          <w:p w14:paraId="724DF823">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（二）所销售药品批准证明文件和检验报告书复印件；</w:t>
            </w:r>
          </w:p>
          <w:p w14:paraId="0DB48594">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（三）企业派出销售人员授权书原件和身份证复印件；</w:t>
            </w:r>
          </w:p>
          <w:p w14:paraId="4400F899">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（四）标明供货单位名称、药品通用名称、药品上市许可持有人（中药饮片标明生产企业、产地）、批准文号、产品批号、剂型、规格、有效期、销售数量、销售价格、销售日期等内容的凭证；</w:t>
            </w:r>
          </w:p>
          <w:p w14:paraId="3906CFA5">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（五）销售进口药品的，按照国家有关规定提供相关证明文件；</w:t>
            </w:r>
          </w:p>
          <w:p w14:paraId="480E0751">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（六）法律、法规要求的其他材料。</w:t>
            </w:r>
          </w:p>
          <w:p w14:paraId="42F10FB8">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上述资料应当加盖企业印章。符合法律规定的可靠电子签名、电子印章与手写签名或者盖章具有同等法律效力。</w:t>
            </w:r>
          </w:p>
        </w:tc>
        <w:tc>
          <w:tcPr>
            <w:tcW w:w="5515" w:type="dxa"/>
            <w:vAlign w:val="center"/>
          </w:tcPr>
          <w:p w14:paraId="2D2D037E">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《中华人民共和国药品管理法》第五十五条；《药品经营和使用质量监督管理办法》第三十九条。</w:t>
            </w:r>
          </w:p>
        </w:tc>
      </w:tr>
      <w:tr w14:paraId="4A18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60" w:type="dxa"/>
            <w:vMerge w:val="continue"/>
            <w:vAlign w:val="center"/>
          </w:tcPr>
          <w:p w14:paraId="7E8B530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5C38DBF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12</w:t>
            </w:r>
          </w:p>
        </w:tc>
        <w:tc>
          <w:tcPr>
            <w:tcW w:w="8525" w:type="dxa"/>
            <w:vAlign w:val="center"/>
          </w:tcPr>
          <w:p w14:paraId="0BCDD667">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药品零售连锁总部购进药品，应当建立并执行进货检查验收制度，验明药品合格证明和其他标识；不符合规定要求的，不得购进和销售。</w:t>
            </w:r>
          </w:p>
        </w:tc>
        <w:tc>
          <w:tcPr>
            <w:tcW w:w="5515" w:type="dxa"/>
            <w:vAlign w:val="center"/>
          </w:tcPr>
          <w:p w14:paraId="131D7BEF">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《中华人民共和国药品管理法》第五十六条。</w:t>
            </w:r>
          </w:p>
        </w:tc>
      </w:tr>
      <w:tr w14:paraId="5202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60" w:type="dxa"/>
            <w:vMerge w:val="continue"/>
            <w:vAlign w:val="center"/>
          </w:tcPr>
          <w:p w14:paraId="4B077FA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10804A3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13</w:t>
            </w:r>
          </w:p>
        </w:tc>
        <w:tc>
          <w:tcPr>
            <w:tcW w:w="8525" w:type="dxa"/>
            <w:vAlign w:val="center"/>
          </w:tcPr>
          <w:p w14:paraId="65CBF8E5">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零售连锁总部购销药品，应当有真实、完整的购销记录。购销记录应当注明药品的通用名称、剂型、规格、产品批号、有效期、上市许可持有人、生产企业、购销单位、购销数量、购销价格、购销日期及国务院药品监督管理部门规定的其他内容。</w:t>
            </w:r>
          </w:p>
          <w:p w14:paraId="5AD0804E">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药品零售连锁总部购销活动中的有关资质材料和购销凭证、记录保存不得少于五年，且不少于药品有效期满后一年。</w:t>
            </w:r>
          </w:p>
        </w:tc>
        <w:tc>
          <w:tcPr>
            <w:tcW w:w="5515" w:type="dxa"/>
            <w:vAlign w:val="center"/>
          </w:tcPr>
          <w:p w14:paraId="67EDEBCE">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《中华人民共和国药品管理法》第五十七条；《药品经营和使用质量监督管理办法》第四十条。</w:t>
            </w:r>
          </w:p>
        </w:tc>
      </w:tr>
      <w:tr w14:paraId="4299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60" w:type="dxa"/>
            <w:vMerge w:val="restart"/>
            <w:vAlign w:val="center"/>
          </w:tcPr>
          <w:p w14:paraId="32E7042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药品经营管理</w:t>
            </w:r>
          </w:p>
        </w:tc>
        <w:tc>
          <w:tcPr>
            <w:tcW w:w="742" w:type="dxa"/>
            <w:vAlign w:val="center"/>
          </w:tcPr>
          <w:p w14:paraId="794E659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14</w:t>
            </w:r>
          </w:p>
        </w:tc>
        <w:tc>
          <w:tcPr>
            <w:tcW w:w="8525" w:type="dxa"/>
            <w:vAlign w:val="center"/>
          </w:tcPr>
          <w:p w14:paraId="6A117B6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药品零售连锁总部销售中药材，应当标明产地。</w:t>
            </w:r>
          </w:p>
        </w:tc>
        <w:tc>
          <w:tcPr>
            <w:tcW w:w="5515" w:type="dxa"/>
            <w:vAlign w:val="center"/>
          </w:tcPr>
          <w:p w14:paraId="791766F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《中华人民共和国药品管理法》第五十八条第二款。</w:t>
            </w:r>
          </w:p>
        </w:tc>
      </w:tr>
      <w:tr w14:paraId="7313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60" w:type="dxa"/>
            <w:vMerge w:val="continue"/>
            <w:vAlign w:val="center"/>
          </w:tcPr>
          <w:p w14:paraId="484E207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742EC1F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15</w:t>
            </w:r>
          </w:p>
        </w:tc>
        <w:tc>
          <w:tcPr>
            <w:tcW w:w="8525" w:type="dxa"/>
            <w:vAlign w:val="center"/>
          </w:tcPr>
          <w:p w14:paraId="528ECD4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药品零售连锁总部应当制定和执行药品保管制度，采取必要的冷藏、防冻、防潮、防虫、防鼠等措施，保证药品质量。</w:t>
            </w:r>
          </w:p>
          <w:p w14:paraId="66F9A6C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药品入库和出库应当执行检查制度。</w:t>
            </w:r>
          </w:p>
        </w:tc>
        <w:tc>
          <w:tcPr>
            <w:tcW w:w="5515" w:type="dxa"/>
            <w:vAlign w:val="center"/>
          </w:tcPr>
          <w:p w14:paraId="53BB3DE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《中华人民共和国药品管理法》第五十九条。</w:t>
            </w:r>
          </w:p>
        </w:tc>
      </w:tr>
      <w:tr w14:paraId="557E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60" w:type="dxa"/>
            <w:vMerge w:val="continue"/>
            <w:vAlign w:val="center"/>
          </w:tcPr>
          <w:p w14:paraId="2DA9FC4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2D795B7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16</w:t>
            </w:r>
          </w:p>
        </w:tc>
        <w:tc>
          <w:tcPr>
            <w:tcW w:w="8525" w:type="dxa"/>
            <w:vAlign w:val="center"/>
          </w:tcPr>
          <w:p w14:paraId="021DA65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零售连锁总部不得经营疫苗、医疗机构制剂、中药配方颗粒等国家禁止经营的药品。</w:t>
            </w:r>
          </w:p>
        </w:tc>
        <w:tc>
          <w:tcPr>
            <w:tcW w:w="5515" w:type="dxa"/>
            <w:vAlign w:val="center"/>
          </w:tcPr>
          <w:p w14:paraId="2744DF8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《药品经营和使用质量监督管理办法》第三十六条。</w:t>
            </w:r>
          </w:p>
        </w:tc>
      </w:tr>
      <w:tr w14:paraId="7C4D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60" w:type="dxa"/>
            <w:vMerge w:val="continue"/>
            <w:vAlign w:val="center"/>
          </w:tcPr>
          <w:p w14:paraId="2F7F04D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5917AF2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17</w:t>
            </w:r>
          </w:p>
        </w:tc>
        <w:tc>
          <w:tcPr>
            <w:tcW w:w="8525" w:type="dxa"/>
            <w:vAlign w:val="center"/>
          </w:tcPr>
          <w:p w14:paraId="43FA7AF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零售连锁总部的药品储存、运输应当严格遵守药品经营质量管理规范的要求，根据药品包装、质量特性、温度控制等要求采取有效措施，保证储存、运输过程中的药品质量安全。冷藏冷冻药品储存、运输应当按要求配备冷藏冷冻设施设备，确保全过程处于规定的温度环境，按照规定做好监测记录。</w:t>
            </w:r>
          </w:p>
        </w:tc>
        <w:tc>
          <w:tcPr>
            <w:tcW w:w="5515" w:type="dxa"/>
            <w:vAlign w:val="center"/>
          </w:tcPr>
          <w:p w14:paraId="1683B45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《药品经营和使用质量监督管理办法》第四十一条。</w:t>
            </w:r>
          </w:p>
        </w:tc>
      </w:tr>
      <w:tr w14:paraId="299F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60" w:type="dxa"/>
            <w:vMerge w:val="continue"/>
            <w:vAlign w:val="center"/>
          </w:tcPr>
          <w:p w14:paraId="030A048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78C2004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18</w:t>
            </w:r>
          </w:p>
        </w:tc>
        <w:tc>
          <w:tcPr>
            <w:tcW w:w="8525" w:type="dxa"/>
            <w:vAlign w:val="center"/>
          </w:tcPr>
          <w:p w14:paraId="183F20C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pacing w:val="-4"/>
                <w:sz w:val="18"/>
                <w:szCs w:val="18"/>
              </w:rPr>
            </w:pPr>
            <w:r>
              <w:rPr>
                <w:rFonts w:hint="eastAsia" w:ascii="方正仿宋_GBK" w:hAnsi="方正仿宋_GBK" w:eastAsia="方正仿宋_GBK" w:cs="方正仿宋_GBK"/>
                <w:spacing w:val="-4"/>
                <w:sz w:val="18"/>
                <w:szCs w:val="18"/>
              </w:rPr>
              <w:t>药品零售连锁总部应当建立健全质量管理体系，统一企业标识、规章制度、计算机系统、人员培训、采购配送、票据管理、药学服务标准规范等，对所属零售门店的经营活动履行管理责任。</w:t>
            </w:r>
          </w:p>
          <w:p w14:paraId="13DA2ED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药品零售连锁总部所属零售门店应当按照总部统一质量管理体系要求开展药品零售活动。</w:t>
            </w:r>
          </w:p>
        </w:tc>
        <w:tc>
          <w:tcPr>
            <w:tcW w:w="5515" w:type="dxa"/>
            <w:vAlign w:val="center"/>
          </w:tcPr>
          <w:p w14:paraId="6B5D345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《药品经营和使用质量监督管理办法》第四十三条。</w:t>
            </w:r>
          </w:p>
        </w:tc>
      </w:tr>
      <w:tr w14:paraId="5651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760" w:type="dxa"/>
            <w:vMerge w:val="continue"/>
            <w:vAlign w:val="center"/>
          </w:tcPr>
          <w:p w14:paraId="0307E08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546B4DD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19</w:t>
            </w:r>
          </w:p>
        </w:tc>
        <w:tc>
          <w:tcPr>
            <w:tcW w:w="8525" w:type="dxa"/>
            <w:vAlign w:val="center"/>
          </w:tcPr>
          <w:p w14:paraId="1A01389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零售连锁总部应当加强对所属零售门店的管理，保证其持续符合药品经营质量管理规范和统一的质量管理体系要求。发现所属零售门店经营的药品存在质量问题或者其他安全隐患的，应当及时采取风险控制措施，并依法向药品监督管理部门报告。</w:t>
            </w:r>
          </w:p>
        </w:tc>
        <w:tc>
          <w:tcPr>
            <w:tcW w:w="5515" w:type="dxa"/>
            <w:vAlign w:val="center"/>
          </w:tcPr>
          <w:p w14:paraId="0E71590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《药品经营和使用质量监督管理办法》第四十四条。</w:t>
            </w:r>
          </w:p>
        </w:tc>
      </w:tr>
      <w:tr w14:paraId="645B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60" w:type="dxa"/>
            <w:vMerge w:val="continue"/>
            <w:vAlign w:val="center"/>
          </w:tcPr>
          <w:p w14:paraId="4805000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7F59E8F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20</w:t>
            </w:r>
          </w:p>
        </w:tc>
        <w:tc>
          <w:tcPr>
            <w:tcW w:w="8525" w:type="dxa"/>
            <w:vAlign w:val="center"/>
          </w:tcPr>
          <w:p w14:paraId="294F01D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药品零售连锁总部委托储存、运输药品的，应当对受托方质量保证能力和风险管理能力进行评估，与其签订委托协议，约定药品质量责任、操作规程等内容，对受托方进行监督，并开展定期检查。</w:t>
            </w:r>
          </w:p>
        </w:tc>
        <w:tc>
          <w:tcPr>
            <w:tcW w:w="5515" w:type="dxa"/>
            <w:vAlign w:val="center"/>
          </w:tcPr>
          <w:p w14:paraId="780924C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《药品经营和使用质量监督管理办法》第四十五条。</w:t>
            </w:r>
          </w:p>
        </w:tc>
      </w:tr>
      <w:tr w14:paraId="4890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60" w:type="dxa"/>
            <w:vMerge w:val="restart"/>
            <w:vAlign w:val="center"/>
          </w:tcPr>
          <w:p w14:paraId="45FB0FD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药品经营管理</w:t>
            </w:r>
          </w:p>
        </w:tc>
        <w:tc>
          <w:tcPr>
            <w:tcW w:w="742" w:type="dxa"/>
            <w:vAlign w:val="center"/>
          </w:tcPr>
          <w:p w14:paraId="52946F5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21</w:t>
            </w:r>
          </w:p>
        </w:tc>
        <w:tc>
          <w:tcPr>
            <w:tcW w:w="8525" w:type="dxa"/>
            <w:vAlign w:val="center"/>
          </w:tcPr>
          <w:p w14:paraId="68809DB4">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药品零售连锁总部通过网络销售药品的，应当遵守《中华人民共和国药品管理法》及药品网络销售监督管理有关规定。</w:t>
            </w:r>
          </w:p>
        </w:tc>
        <w:tc>
          <w:tcPr>
            <w:tcW w:w="5515" w:type="dxa"/>
            <w:vAlign w:val="center"/>
          </w:tcPr>
          <w:p w14:paraId="251515A3">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《药品经营和使用质量监督管理办法》第五十条。</w:t>
            </w:r>
          </w:p>
        </w:tc>
      </w:tr>
      <w:tr w14:paraId="3439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60" w:type="dxa"/>
            <w:vMerge w:val="continue"/>
            <w:vAlign w:val="center"/>
          </w:tcPr>
          <w:p w14:paraId="58DBD32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13EF28F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22</w:t>
            </w:r>
          </w:p>
        </w:tc>
        <w:tc>
          <w:tcPr>
            <w:tcW w:w="8525" w:type="dxa"/>
            <w:vAlign w:val="center"/>
          </w:tcPr>
          <w:p w14:paraId="752F4037">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药品零售连锁总部应当经常考察本单位所经营的药品质量、疗效和不良反应。发现疑似不良反应的，应当及时向药品监督管理部门报告。</w:t>
            </w:r>
          </w:p>
        </w:tc>
        <w:tc>
          <w:tcPr>
            <w:tcW w:w="5515" w:type="dxa"/>
            <w:vAlign w:val="center"/>
          </w:tcPr>
          <w:p w14:paraId="1DD54A7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《中华人民共和国药品管理法》第八十一条第一款。</w:t>
            </w:r>
          </w:p>
        </w:tc>
      </w:tr>
      <w:tr w14:paraId="4042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0" w:type="dxa"/>
            <w:vMerge w:val="continue"/>
            <w:vAlign w:val="center"/>
          </w:tcPr>
          <w:p w14:paraId="3265EA8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337F199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23</w:t>
            </w:r>
          </w:p>
        </w:tc>
        <w:tc>
          <w:tcPr>
            <w:tcW w:w="8525" w:type="dxa"/>
            <w:vAlign w:val="center"/>
          </w:tcPr>
          <w:p w14:paraId="2B9F5A73">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药品存在质量问题或者其他安全隐患的，药品上市许可持有人召回已销售的药品，药品零售连锁总部应当配合。</w:t>
            </w:r>
          </w:p>
        </w:tc>
        <w:tc>
          <w:tcPr>
            <w:tcW w:w="5515" w:type="dxa"/>
            <w:vAlign w:val="center"/>
          </w:tcPr>
          <w:p w14:paraId="7CD1F54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《中华人民共和国药品管理法》第八十二条第一款。</w:t>
            </w:r>
          </w:p>
        </w:tc>
      </w:tr>
      <w:tr w14:paraId="3112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0" w:type="dxa"/>
            <w:vMerge w:val="continue"/>
            <w:vAlign w:val="center"/>
          </w:tcPr>
          <w:p w14:paraId="19D90A6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570E3EC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24</w:t>
            </w:r>
          </w:p>
        </w:tc>
        <w:tc>
          <w:tcPr>
            <w:tcW w:w="8525" w:type="dxa"/>
            <w:vAlign w:val="center"/>
          </w:tcPr>
          <w:p w14:paraId="2E192A59">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药品零售连锁总部不得进口、销售已被注销药品注册证书的药品。</w:t>
            </w:r>
          </w:p>
        </w:tc>
        <w:tc>
          <w:tcPr>
            <w:tcW w:w="5515" w:type="dxa"/>
            <w:vAlign w:val="center"/>
          </w:tcPr>
          <w:p w14:paraId="5CC99253">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《中华人民共和国药品管理法》第八十三条第三款。</w:t>
            </w:r>
          </w:p>
        </w:tc>
      </w:tr>
      <w:tr w14:paraId="648C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760" w:type="dxa"/>
            <w:vMerge w:val="continue"/>
            <w:vAlign w:val="center"/>
          </w:tcPr>
          <w:p w14:paraId="09486CF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2A63EC5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25</w:t>
            </w:r>
          </w:p>
        </w:tc>
        <w:tc>
          <w:tcPr>
            <w:tcW w:w="8525" w:type="dxa"/>
            <w:vAlign w:val="center"/>
          </w:tcPr>
          <w:p w14:paraId="07BEE5E8">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依法实行市场调节价的药品，药品零售连锁总部应当按照公平、合理和诚实信用、质价相符的原则制定价格，为用药者提供价格合理的药品。</w:t>
            </w:r>
          </w:p>
          <w:p w14:paraId="387E736A">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药品零售连锁总部应当遵守国务院药品价格主管部门关于药品价格管理的规定，制定和标明药品零售价格，禁止暴利、价格垄断和价格欺诈等行为。</w:t>
            </w:r>
          </w:p>
        </w:tc>
        <w:tc>
          <w:tcPr>
            <w:tcW w:w="5515" w:type="dxa"/>
            <w:vAlign w:val="center"/>
          </w:tcPr>
          <w:p w14:paraId="616FAD1A">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《中华人民共和国药品管理法》第八十五条。</w:t>
            </w:r>
          </w:p>
        </w:tc>
      </w:tr>
      <w:tr w14:paraId="3035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60" w:type="dxa"/>
            <w:vMerge w:val="continue"/>
            <w:vAlign w:val="center"/>
          </w:tcPr>
          <w:p w14:paraId="08D9AF6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43B76D1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26</w:t>
            </w:r>
          </w:p>
        </w:tc>
        <w:tc>
          <w:tcPr>
            <w:tcW w:w="8525" w:type="dxa"/>
            <w:vAlign w:val="center"/>
          </w:tcPr>
          <w:p w14:paraId="3EF3EB58">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药品零售连锁总部应当依法向药品价格主管部门提供其药品的实际购销价格和购销数量等资料。</w:t>
            </w:r>
          </w:p>
        </w:tc>
        <w:tc>
          <w:tcPr>
            <w:tcW w:w="5515" w:type="dxa"/>
            <w:vAlign w:val="center"/>
          </w:tcPr>
          <w:p w14:paraId="3363A6A4">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《中华人民共和国药品管理法》第八十六条。</w:t>
            </w:r>
          </w:p>
        </w:tc>
      </w:tr>
      <w:tr w14:paraId="2BA1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760" w:type="dxa"/>
            <w:vMerge w:val="continue"/>
            <w:vAlign w:val="center"/>
          </w:tcPr>
          <w:p w14:paraId="59B2CF4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42" w:type="dxa"/>
            <w:vAlign w:val="center"/>
          </w:tcPr>
          <w:p w14:paraId="5AD4D8A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27</w:t>
            </w:r>
          </w:p>
        </w:tc>
        <w:tc>
          <w:tcPr>
            <w:tcW w:w="8525" w:type="dxa"/>
            <w:vAlign w:val="center"/>
          </w:tcPr>
          <w:p w14:paraId="06739EFB">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禁止药品零售连锁总部在药品购销中给予、收受回扣或者其他不正当利益。</w:t>
            </w:r>
          </w:p>
          <w:p w14:paraId="153881DC">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禁止药品零售连锁总部或者代理人以任何名义给予使用其药品的采购人员、药师等有关人员财物或者其他不正当利益。</w:t>
            </w:r>
          </w:p>
        </w:tc>
        <w:tc>
          <w:tcPr>
            <w:tcW w:w="5515" w:type="dxa"/>
            <w:vAlign w:val="center"/>
          </w:tcPr>
          <w:p w14:paraId="2E6FD45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《中华人民共和国药品管理法》第八十八条。</w:t>
            </w:r>
          </w:p>
        </w:tc>
      </w:tr>
      <w:tr w14:paraId="6D0A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60" w:type="dxa"/>
            <w:vAlign w:val="center"/>
          </w:tcPr>
          <w:p w14:paraId="564AC49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监督检查</w:t>
            </w:r>
          </w:p>
        </w:tc>
        <w:tc>
          <w:tcPr>
            <w:tcW w:w="742" w:type="dxa"/>
            <w:vAlign w:val="center"/>
          </w:tcPr>
          <w:p w14:paraId="4A2810F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28</w:t>
            </w:r>
          </w:p>
        </w:tc>
        <w:tc>
          <w:tcPr>
            <w:tcW w:w="8525" w:type="dxa"/>
            <w:vAlign w:val="center"/>
          </w:tcPr>
          <w:p w14:paraId="0EFA7EA3">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对药品监督管理部门应当依法开展监督检查、延伸检查等，有关单位和个人应当予以配合，不得拒绝和隐瞒。</w:t>
            </w:r>
          </w:p>
        </w:tc>
        <w:tc>
          <w:tcPr>
            <w:tcW w:w="5515" w:type="dxa"/>
            <w:vAlign w:val="center"/>
          </w:tcPr>
          <w:p w14:paraId="1F37FFE5">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《中华人民共和国药品管理法》第九十九条第一款。</w:t>
            </w:r>
          </w:p>
        </w:tc>
      </w:tr>
    </w:tbl>
    <w:p w14:paraId="50659BEA">
      <w:pPr>
        <w:keepNext w:val="0"/>
        <w:keepLines w:val="0"/>
        <w:pageBreakBefore w:val="0"/>
        <w:widowControl w:val="0"/>
        <w:kinsoku/>
        <w:wordWrap/>
        <w:overflowPunct/>
        <w:topLinePunct w:val="0"/>
        <w:autoSpaceDE/>
        <w:autoSpaceDN/>
        <w:bidi w:val="0"/>
        <w:adjustRightInd/>
        <w:snapToGrid/>
        <w:spacing w:line="140" w:lineRule="exact"/>
        <w:ind w:left="0" w:leftChars="0" w:right="0" w:rightChars="0" w:firstLine="0" w:firstLineChars="0"/>
        <w:jc w:val="both"/>
        <w:textAlignment w:val="auto"/>
        <w:outlineLvl w:val="9"/>
        <w:rPr>
          <w:rFonts w:ascii="Times New Roman" w:hAnsi="Times New Roman"/>
        </w:rPr>
      </w:pPr>
    </w:p>
    <w:tbl>
      <w:tblPr>
        <w:tblStyle w:val="9"/>
        <w:tblW w:w="15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765"/>
        <w:gridCol w:w="8502"/>
        <w:gridCol w:w="5535"/>
      </w:tblGrid>
      <w:tr w14:paraId="3CB7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756" w:type="dxa"/>
            <w:vAlign w:val="center"/>
          </w:tcPr>
          <w:p w14:paraId="6FA748CF">
            <w:pPr>
              <w:snapToGrid w:val="0"/>
              <w:spacing w:line="400" w:lineRule="exact"/>
              <w:jc w:val="center"/>
              <w:rPr>
                <w:rFonts w:eastAsia="方正黑体_GBK" w:cs="仿宋_GB2312"/>
                <w:bCs/>
                <w:sz w:val="18"/>
                <w:szCs w:val="18"/>
              </w:rPr>
            </w:pPr>
            <w:r>
              <w:rPr>
                <w:rFonts w:hint="eastAsia" w:eastAsia="方正黑体_GBK" w:cs="仿宋_GB2312"/>
                <w:bCs/>
                <w:sz w:val="18"/>
                <w:szCs w:val="18"/>
              </w:rPr>
              <w:t>表12</w:t>
            </w:r>
          </w:p>
        </w:tc>
        <w:tc>
          <w:tcPr>
            <w:tcW w:w="14802" w:type="dxa"/>
            <w:gridSpan w:val="3"/>
            <w:vAlign w:val="center"/>
          </w:tcPr>
          <w:p w14:paraId="51AA0B55">
            <w:pPr>
              <w:snapToGrid w:val="0"/>
              <w:spacing w:line="400" w:lineRule="exact"/>
              <w:jc w:val="center"/>
              <w:rPr>
                <w:rFonts w:eastAsia="方正黑体_GBK" w:cs="仿宋_GB2312"/>
                <w:bCs/>
                <w:sz w:val="18"/>
                <w:szCs w:val="18"/>
              </w:rPr>
            </w:pPr>
            <w:r>
              <w:rPr>
                <w:rFonts w:hint="eastAsia" w:eastAsia="方正黑体_GBK" w:cs="仿宋_GB2312"/>
                <w:bCs/>
                <w:sz w:val="18"/>
                <w:szCs w:val="18"/>
              </w:rPr>
              <w:t>药品网络交易第三方平台主体责任清单</w:t>
            </w:r>
          </w:p>
        </w:tc>
      </w:tr>
      <w:tr w14:paraId="20D4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756" w:type="dxa"/>
            <w:vAlign w:val="center"/>
          </w:tcPr>
          <w:p w14:paraId="166CD001">
            <w:pPr>
              <w:snapToGrid w:val="0"/>
              <w:spacing w:line="400" w:lineRule="exact"/>
              <w:jc w:val="center"/>
              <w:rPr>
                <w:rFonts w:eastAsia="方正黑体_GBK" w:cs="仿宋_GB2312"/>
                <w:bCs/>
                <w:sz w:val="18"/>
                <w:szCs w:val="18"/>
              </w:rPr>
            </w:pPr>
            <w:r>
              <w:rPr>
                <w:rFonts w:hint="eastAsia" w:eastAsia="方正黑体_GBK" w:cs="仿宋_GB2312"/>
                <w:bCs/>
                <w:sz w:val="18"/>
                <w:szCs w:val="18"/>
              </w:rPr>
              <w:t>分类</w:t>
            </w:r>
          </w:p>
        </w:tc>
        <w:tc>
          <w:tcPr>
            <w:tcW w:w="765" w:type="dxa"/>
            <w:vAlign w:val="center"/>
          </w:tcPr>
          <w:p w14:paraId="4DF2F817">
            <w:pPr>
              <w:snapToGrid w:val="0"/>
              <w:spacing w:line="400" w:lineRule="exact"/>
              <w:jc w:val="center"/>
              <w:rPr>
                <w:rFonts w:eastAsia="方正黑体_GBK" w:cs="仿宋_GB2312"/>
                <w:bCs/>
                <w:sz w:val="18"/>
                <w:szCs w:val="18"/>
              </w:rPr>
            </w:pPr>
            <w:r>
              <w:rPr>
                <w:rFonts w:hint="eastAsia" w:eastAsia="方正黑体_GBK" w:cs="仿宋_GB2312"/>
                <w:bCs/>
                <w:sz w:val="18"/>
                <w:szCs w:val="18"/>
              </w:rPr>
              <w:t>序号</w:t>
            </w:r>
          </w:p>
        </w:tc>
        <w:tc>
          <w:tcPr>
            <w:tcW w:w="8502" w:type="dxa"/>
            <w:vAlign w:val="center"/>
          </w:tcPr>
          <w:p w14:paraId="0D3F66EC">
            <w:pPr>
              <w:snapToGrid w:val="0"/>
              <w:spacing w:line="400" w:lineRule="exact"/>
              <w:jc w:val="center"/>
              <w:rPr>
                <w:rFonts w:eastAsia="方正黑体_GBK" w:cs="仿宋_GB2312"/>
                <w:bCs/>
                <w:sz w:val="18"/>
                <w:szCs w:val="18"/>
              </w:rPr>
            </w:pPr>
            <w:r>
              <w:rPr>
                <w:rFonts w:hint="eastAsia" w:eastAsia="方正黑体_GBK" w:cs="仿宋_GB2312"/>
                <w:bCs/>
                <w:sz w:val="18"/>
                <w:szCs w:val="18"/>
              </w:rPr>
              <w:t>主体责任</w:t>
            </w:r>
          </w:p>
        </w:tc>
        <w:tc>
          <w:tcPr>
            <w:tcW w:w="5535" w:type="dxa"/>
            <w:vAlign w:val="center"/>
          </w:tcPr>
          <w:p w14:paraId="7914E49E">
            <w:pPr>
              <w:snapToGrid w:val="0"/>
              <w:spacing w:line="400" w:lineRule="exact"/>
              <w:jc w:val="center"/>
              <w:rPr>
                <w:rFonts w:eastAsia="方正黑体_GBK" w:cs="仿宋_GB2312"/>
                <w:bCs/>
                <w:sz w:val="18"/>
                <w:szCs w:val="18"/>
              </w:rPr>
            </w:pPr>
            <w:r>
              <w:rPr>
                <w:rFonts w:hint="eastAsia" w:eastAsia="方正黑体_GBK" w:cs="仿宋_GB2312"/>
                <w:bCs/>
                <w:sz w:val="18"/>
                <w:szCs w:val="18"/>
              </w:rPr>
              <w:t>责任依据</w:t>
            </w:r>
          </w:p>
        </w:tc>
      </w:tr>
      <w:tr w14:paraId="3772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56" w:type="dxa"/>
            <w:vAlign w:val="center"/>
          </w:tcPr>
          <w:p w14:paraId="2DFF56F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诚信要求</w:t>
            </w:r>
          </w:p>
        </w:tc>
        <w:tc>
          <w:tcPr>
            <w:tcW w:w="765" w:type="dxa"/>
            <w:vAlign w:val="center"/>
          </w:tcPr>
          <w:p w14:paraId="3162F6F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w:t>
            </w:r>
          </w:p>
        </w:tc>
        <w:tc>
          <w:tcPr>
            <w:tcW w:w="8502" w:type="dxa"/>
            <w:vAlign w:val="center"/>
          </w:tcPr>
          <w:p w14:paraId="1E45BF5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应当遵守《中华人民共和国药品管理法》《药品网络销售监督管理办法》《药品经营质量管理规范》等法律、法规、规章规定，依法诚信经营，保障药品质量安全。</w:t>
            </w:r>
          </w:p>
        </w:tc>
        <w:tc>
          <w:tcPr>
            <w:tcW w:w="5535" w:type="dxa"/>
            <w:vAlign w:val="center"/>
          </w:tcPr>
          <w:p w14:paraId="2A56AEC3">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《药品网络销售监督管理办法》第四条。</w:t>
            </w:r>
          </w:p>
        </w:tc>
      </w:tr>
      <w:tr w14:paraId="3074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14:paraId="5000D699">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企业资质</w:t>
            </w:r>
          </w:p>
        </w:tc>
        <w:tc>
          <w:tcPr>
            <w:tcW w:w="765" w:type="dxa"/>
            <w:vAlign w:val="center"/>
          </w:tcPr>
          <w:p w14:paraId="14EFAE4C">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w:t>
            </w:r>
          </w:p>
        </w:tc>
        <w:tc>
          <w:tcPr>
            <w:tcW w:w="8502" w:type="dxa"/>
            <w:vAlign w:val="center"/>
          </w:tcPr>
          <w:p w14:paraId="5119A2F2">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应当将企业名称、法定代表人、统一社会信用代码、网站名称以及域名等信息向平台所在地省级药品监督管理部门备案。</w:t>
            </w:r>
          </w:p>
        </w:tc>
        <w:tc>
          <w:tcPr>
            <w:tcW w:w="5535" w:type="dxa"/>
            <w:vAlign w:val="center"/>
          </w:tcPr>
          <w:p w14:paraId="739808C2">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《中华人民共和国药品管理法》第六十二条第一款；《药品网络销售监督管理办法》第十八条。</w:t>
            </w:r>
          </w:p>
        </w:tc>
      </w:tr>
      <w:tr w14:paraId="2541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56" w:type="dxa"/>
            <w:vMerge w:val="restart"/>
            <w:vAlign w:val="center"/>
          </w:tcPr>
          <w:p w14:paraId="25410D36">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制度管理</w:t>
            </w:r>
          </w:p>
        </w:tc>
        <w:tc>
          <w:tcPr>
            <w:tcW w:w="765" w:type="dxa"/>
            <w:vAlign w:val="center"/>
          </w:tcPr>
          <w:p w14:paraId="151811F0">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w:t>
            </w:r>
          </w:p>
        </w:tc>
        <w:tc>
          <w:tcPr>
            <w:tcW w:w="8502" w:type="dxa"/>
            <w:vAlign w:val="center"/>
          </w:tcPr>
          <w:p w14:paraId="0560BA5C">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应当建立药品质量安全管理机构，配备药学技术人员承担药品质量安全管理工作，建立并实施药品质量安全、检查监控、药品信息展示、处方审核、处方药实名购买、药品配送、交易记录保存、不良反应报告、投诉举报处理等管理制度。</w:t>
            </w:r>
          </w:p>
        </w:tc>
        <w:tc>
          <w:tcPr>
            <w:tcW w:w="5535" w:type="dxa"/>
            <w:vAlign w:val="center"/>
          </w:tcPr>
          <w:p w14:paraId="36333442">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《药品网络销售监督管理办法》第十七条第一款。</w:t>
            </w:r>
          </w:p>
        </w:tc>
      </w:tr>
      <w:tr w14:paraId="43CB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56" w:type="dxa"/>
            <w:vMerge w:val="continue"/>
            <w:vAlign w:val="center"/>
          </w:tcPr>
          <w:p w14:paraId="0E3DFB5F">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65" w:type="dxa"/>
            <w:vAlign w:val="center"/>
          </w:tcPr>
          <w:p w14:paraId="73806C6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w:t>
            </w:r>
          </w:p>
        </w:tc>
        <w:tc>
          <w:tcPr>
            <w:tcW w:w="8502" w:type="dxa"/>
            <w:vAlign w:val="center"/>
          </w:tcPr>
          <w:p w14:paraId="27F48BF3">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应当对药品网络销售活动建立检查监控制度。发现入驻的药品网络销售企业有违法行为的应当及时制止，并立即向所在地县级药品监督管理部门报告。</w:t>
            </w:r>
          </w:p>
        </w:tc>
        <w:tc>
          <w:tcPr>
            <w:tcW w:w="5535" w:type="dxa"/>
            <w:vAlign w:val="center"/>
          </w:tcPr>
          <w:p w14:paraId="49870F38">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《药品网络销售监督管理办法》第二十二条。</w:t>
            </w:r>
          </w:p>
        </w:tc>
      </w:tr>
      <w:tr w14:paraId="6B92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56" w:type="dxa"/>
            <w:vMerge w:val="restart"/>
            <w:vAlign w:val="center"/>
          </w:tcPr>
          <w:p w14:paraId="03C7C97F">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平台管理</w:t>
            </w:r>
          </w:p>
        </w:tc>
        <w:tc>
          <w:tcPr>
            <w:tcW w:w="765" w:type="dxa"/>
            <w:vAlign w:val="center"/>
          </w:tcPr>
          <w:p w14:paraId="3684B150">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8502" w:type="dxa"/>
            <w:vAlign w:val="center"/>
          </w:tcPr>
          <w:p w14:paraId="6803964B">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应当依法对申请进入平台经营的药品上市许可持有人、药品经营企业的资质、质量安全保证能力等进行审核，建立入驻企业登记档案，至少每六个月核验更新一次，保证其符合法定要求，并对发生在平台的药品经营行为进行管理。</w:t>
            </w:r>
          </w:p>
        </w:tc>
        <w:tc>
          <w:tcPr>
            <w:tcW w:w="5535" w:type="dxa"/>
            <w:vAlign w:val="center"/>
          </w:tcPr>
          <w:p w14:paraId="0293848A">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《中华人民共和国药品管理法》第六十二条第二款；《药品网络销售监督管理办法》第二十条第一款。</w:t>
            </w:r>
          </w:p>
        </w:tc>
      </w:tr>
      <w:tr w14:paraId="0E31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56" w:type="dxa"/>
            <w:vMerge w:val="continue"/>
            <w:vAlign w:val="center"/>
          </w:tcPr>
          <w:p w14:paraId="69C3CDF5">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65" w:type="dxa"/>
            <w:vAlign w:val="center"/>
          </w:tcPr>
          <w:p w14:paraId="146346E0">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8502" w:type="dxa"/>
            <w:vAlign w:val="center"/>
          </w:tcPr>
          <w:p w14:paraId="063D3FB8">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应当与药品网络销售企业签订协议，明确双方药品质量安全责任。</w:t>
            </w:r>
          </w:p>
        </w:tc>
        <w:tc>
          <w:tcPr>
            <w:tcW w:w="5535" w:type="dxa"/>
            <w:vAlign w:val="center"/>
          </w:tcPr>
          <w:p w14:paraId="2BB34D9A">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《药品网络销售监督管理办法》第二十条第二款。</w:t>
            </w:r>
          </w:p>
        </w:tc>
      </w:tr>
      <w:tr w14:paraId="7002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56" w:type="dxa"/>
            <w:vMerge w:val="continue"/>
            <w:vAlign w:val="center"/>
          </w:tcPr>
          <w:p w14:paraId="6F05F7F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65" w:type="dxa"/>
            <w:vAlign w:val="center"/>
          </w:tcPr>
          <w:p w14:paraId="64E5C136">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w:t>
            </w:r>
          </w:p>
        </w:tc>
        <w:tc>
          <w:tcPr>
            <w:tcW w:w="8502" w:type="dxa"/>
            <w:vAlign w:val="center"/>
          </w:tcPr>
          <w:p w14:paraId="7D84F99D">
            <w:pPr>
              <w:keepNext w:val="0"/>
              <w:keepLines w:val="0"/>
              <w:pageBreakBefore w:val="0"/>
              <w:widowControl w:val="0"/>
              <w:tabs>
                <w:tab w:val="left" w:pos="1551"/>
              </w:tabs>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应当加强检查，对入驻的药品网络销售企业的药品信息展示、处方审核、药品销售和配送等相关行为进行管理，督促其严格履行法定义务。</w:t>
            </w:r>
          </w:p>
        </w:tc>
        <w:tc>
          <w:tcPr>
            <w:tcW w:w="5535" w:type="dxa"/>
            <w:vAlign w:val="center"/>
          </w:tcPr>
          <w:p w14:paraId="4F4C27B8">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《药品网络销售监督管理办法》第十七条第二款。</w:t>
            </w:r>
          </w:p>
        </w:tc>
      </w:tr>
      <w:tr w14:paraId="6F6F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756" w:type="dxa"/>
            <w:vMerge w:val="continue"/>
            <w:vAlign w:val="center"/>
          </w:tcPr>
          <w:p w14:paraId="046C214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65" w:type="dxa"/>
            <w:vAlign w:val="center"/>
          </w:tcPr>
          <w:p w14:paraId="55155B6C">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8502" w:type="dxa"/>
            <w:vAlign w:val="center"/>
          </w:tcPr>
          <w:p w14:paraId="23B182E0">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发现进入平台经营的药品上市许可持有人、药品经营企业有违反《中华人民共和国药品管理法》规定行为的，应当及时制止并立即报告所在地县级人民政府药品监督管理部门；发现严重违法行为的，应当立即停止提供网络交易平台服务，停止展示药品相关信息。</w:t>
            </w:r>
          </w:p>
        </w:tc>
        <w:tc>
          <w:tcPr>
            <w:tcW w:w="5535" w:type="dxa"/>
            <w:vAlign w:val="center"/>
          </w:tcPr>
          <w:p w14:paraId="73CD16B9">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《中华人民共和国药品管理法》第六十二条第三款；《药品网络销售监督管理办法》第二十三条。</w:t>
            </w:r>
          </w:p>
        </w:tc>
      </w:tr>
      <w:tr w14:paraId="1BE2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56" w:type="dxa"/>
            <w:vMerge w:val="continue"/>
            <w:vAlign w:val="center"/>
          </w:tcPr>
          <w:p w14:paraId="43C00C49">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65" w:type="dxa"/>
            <w:vAlign w:val="center"/>
          </w:tcPr>
          <w:p w14:paraId="3500C47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9</w:t>
            </w:r>
          </w:p>
        </w:tc>
        <w:tc>
          <w:tcPr>
            <w:tcW w:w="8502" w:type="dxa"/>
            <w:vAlign w:val="center"/>
          </w:tcPr>
          <w:p w14:paraId="6C3DB679">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承接电子处方的，应对电子处方提供单位的情况进行核实，并签订协议。</w:t>
            </w:r>
          </w:p>
        </w:tc>
        <w:tc>
          <w:tcPr>
            <w:tcW w:w="5535" w:type="dxa"/>
            <w:vAlign w:val="center"/>
          </w:tcPr>
          <w:p w14:paraId="4518AA44">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《药品网络销售监督管理办法》第九条第三款。</w:t>
            </w:r>
          </w:p>
        </w:tc>
      </w:tr>
      <w:tr w14:paraId="054A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56" w:type="dxa"/>
            <w:vMerge w:val="restart"/>
            <w:vAlign w:val="center"/>
          </w:tcPr>
          <w:p w14:paraId="3112196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信息管理</w:t>
            </w:r>
          </w:p>
        </w:tc>
        <w:tc>
          <w:tcPr>
            <w:tcW w:w="765" w:type="dxa"/>
            <w:vAlign w:val="center"/>
          </w:tcPr>
          <w:p w14:paraId="2122182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8502" w:type="dxa"/>
            <w:vAlign w:val="center"/>
          </w:tcPr>
          <w:p w14:paraId="7CC1E48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当在网站首页或者从事药品经营活动的主页面显著位置，持续公示营业执照、互联网药品信息服务资格证书等相关行政许可和备案、联系方式、投诉举报方式等信息或者上述信息的链接标识。</w:t>
            </w:r>
          </w:p>
        </w:tc>
        <w:tc>
          <w:tcPr>
            <w:tcW w:w="5535" w:type="dxa"/>
            <w:vAlign w:val="center"/>
          </w:tcPr>
          <w:p w14:paraId="43A7B8E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《药品网络销售监督管理办法》第十九条第一款。</w:t>
            </w:r>
          </w:p>
        </w:tc>
      </w:tr>
      <w:tr w14:paraId="37DF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6" w:type="dxa"/>
            <w:vMerge w:val="continue"/>
            <w:vAlign w:val="center"/>
          </w:tcPr>
          <w:p w14:paraId="2A2A4C5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65" w:type="dxa"/>
            <w:vAlign w:val="center"/>
          </w:tcPr>
          <w:p w14:paraId="1EC5D8E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11</w:t>
            </w:r>
          </w:p>
        </w:tc>
        <w:tc>
          <w:tcPr>
            <w:tcW w:w="8502" w:type="dxa"/>
            <w:vAlign w:val="center"/>
          </w:tcPr>
          <w:p w14:paraId="3FC6014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展示药品信息应当遵守《药品网络销售监督管理办法》第十三条的规定。</w:t>
            </w:r>
          </w:p>
        </w:tc>
        <w:tc>
          <w:tcPr>
            <w:tcW w:w="5535" w:type="dxa"/>
            <w:vAlign w:val="center"/>
          </w:tcPr>
          <w:p w14:paraId="5E00CC4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《药品网络销售监督管理办法》第十九条第二款。</w:t>
            </w:r>
          </w:p>
        </w:tc>
      </w:tr>
      <w:tr w14:paraId="4234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756" w:type="dxa"/>
            <w:vMerge w:val="continue"/>
            <w:vAlign w:val="center"/>
          </w:tcPr>
          <w:p w14:paraId="0F6CF94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65" w:type="dxa"/>
            <w:vAlign w:val="center"/>
          </w:tcPr>
          <w:p w14:paraId="2F5B85F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12</w:t>
            </w:r>
          </w:p>
        </w:tc>
        <w:tc>
          <w:tcPr>
            <w:tcW w:w="8502" w:type="dxa"/>
            <w:vAlign w:val="center"/>
          </w:tcPr>
          <w:p w14:paraId="241553B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应当采取有效措施保证交易全过程信息真实、准确、完整和可追溯，并遵守国家个人信息保护的有关规定。应当保存药品展示、交易记录与投诉举报等信息，保存期限不少于5年，且不少于药品有效期满后1年。确保有关资料、信息和数据的真实、完整，并为入驻的药品网络销售企业自行保存数据提供便利。</w:t>
            </w:r>
          </w:p>
        </w:tc>
        <w:tc>
          <w:tcPr>
            <w:tcW w:w="5535" w:type="dxa"/>
            <w:vAlign w:val="center"/>
          </w:tcPr>
          <w:p w14:paraId="3FDECC4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《药品网络销售监督管理办法》第五条、第二十一条。</w:t>
            </w:r>
          </w:p>
        </w:tc>
      </w:tr>
      <w:tr w14:paraId="4B4F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756" w:type="dxa"/>
            <w:vAlign w:val="center"/>
          </w:tcPr>
          <w:p w14:paraId="3F1F44F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配送管理</w:t>
            </w:r>
          </w:p>
        </w:tc>
        <w:tc>
          <w:tcPr>
            <w:tcW w:w="765" w:type="dxa"/>
            <w:vAlign w:val="center"/>
          </w:tcPr>
          <w:p w14:paraId="48BEE44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13</w:t>
            </w:r>
          </w:p>
        </w:tc>
        <w:tc>
          <w:tcPr>
            <w:tcW w:w="8502" w:type="dxa"/>
            <w:vAlign w:val="center"/>
          </w:tcPr>
          <w:p w14:paraId="307D1AB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应当为接入的药品零售配送相关单位，按照药品信息化追溯要求，提供配送过程中有关信息数据共享的条件。应当对相关配送企业每年至少开展一次评审，评审内容至少包括配送设备设施、人员资质、质量管理水平、风险控制能力等，对评审结果不符合要求的配送企业应停止合作。</w:t>
            </w:r>
          </w:p>
        </w:tc>
        <w:tc>
          <w:tcPr>
            <w:tcW w:w="5535" w:type="dxa"/>
            <w:vAlign w:val="center"/>
          </w:tcPr>
          <w:p w14:paraId="40BAF11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《药品经营质量管理规范附录6：药品零售配送质量管理》第二十一条。</w:t>
            </w:r>
          </w:p>
        </w:tc>
      </w:tr>
      <w:tr w14:paraId="4715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6" w:type="dxa"/>
            <w:vAlign w:val="center"/>
          </w:tcPr>
          <w:p w14:paraId="6D06CD0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风险管理</w:t>
            </w:r>
          </w:p>
        </w:tc>
        <w:tc>
          <w:tcPr>
            <w:tcW w:w="765" w:type="dxa"/>
            <w:vAlign w:val="center"/>
          </w:tcPr>
          <w:p w14:paraId="05DB55F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14</w:t>
            </w:r>
          </w:p>
        </w:tc>
        <w:tc>
          <w:tcPr>
            <w:tcW w:w="8502" w:type="dxa"/>
            <w:vAlign w:val="center"/>
          </w:tcPr>
          <w:p w14:paraId="637BF3D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出现突发公共卫生事件或者其他严重威胁公众健康的紧急事件时应当遵守国家有关应急处置规定，依法采取相应的控制和处置措施。</w:t>
            </w:r>
          </w:p>
        </w:tc>
        <w:tc>
          <w:tcPr>
            <w:tcW w:w="5535" w:type="dxa"/>
            <w:vAlign w:val="center"/>
          </w:tcPr>
          <w:p w14:paraId="7F9A409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《药品网络销售监督管理办法》第二十四条第一款。</w:t>
            </w:r>
          </w:p>
        </w:tc>
      </w:tr>
      <w:tr w14:paraId="4531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56" w:type="dxa"/>
            <w:vAlign w:val="center"/>
          </w:tcPr>
          <w:p w14:paraId="3DA6BBF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药品召回管理</w:t>
            </w:r>
          </w:p>
        </w:tc>
        <w:tc>
          <w:tcPr>
            <w:tcW w:w="765" w:type="dxa"/>
            <w:vAlign w:val="center"/>
          </w:tcPr>
          <w:p w14:paraId="20CF14C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15</w:t>
            </w:r>
          </w:p>
        </w:tc>
        <w:tc>
          <w:tcPr>
            <w:tcW w:w="8502" w:type="dxa"/>
            <w:vAlign w:val="center"/>
          </w:tcPr>
          <w:p w14:paraId="6E54362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药品上市许可持有人依法召回药品的，应当积极予以配合。</w:t>
            </w:r>
          </w:p>
        </w:tc>
        <w:tc>
          <w:tcPr>
            <w:tcW w:w="5535" w:type="dxa"/>
            <w:vAlign w:val="center"/>
          </w:tcPr>
          <w:p w14:paraId="5F16BAF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《中华人民共和国药品管理法》第八十二条；《药品网络销售监督管理办法》第二十四条第二款。</w:t>
            </w:r>
          </w:p>
        </w:tc>
      </w:tr>
      <w:tr w14:paraId="255D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56" w:type="dxa"/>
            <w:vAlign w:val="center"/>
          </w:tcPr>
          <w:p w14:paraId="3B65E7C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接受监督管理</w:t>
            </w:r>
          </w:p>
        </w:tc>
        <w:tc>
          <w:tcPr>
            <w:tcW w:w="765" w:type="dxa"/>
            <w:vAlign w:val="center"/>
          </w:tcPr>
          <w:p w14:paraId="637AF98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16</w:t>
            </w:r>
          </w:p>
        </w:tc>
        <w:tc>
          <w:tcPr>
            <w:tcW w:w="8502" w:type="dxa"/>
            <w:vAlign w:val="center"/>
          </w:tcPr>
          <w:p w14:paraId="54587A6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配合药品监督管理部门的监督检查、案件查办、事件处置等工作，并依法依规及时提供有关平台内销售者、销售记录、药学服务以及追溯等信息。对药品监管部门发现网售企业存在违法行为的，按要求采取措施制止。积极与药品监管部门建立开放数据接口等形式的自动化信息报送机制。</w:t>
            </w:r>
          </w:p>
        </w:tc>
        <w:tc>
          <w:tcPr>
            <w:tcW w:w="5535" w:type="dxa"/>
            <w:vAlign w:val="center"/>
          </w:tcPr>
          <w:p w14:paraId="5833F6F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《药品网络销售监督管理办法》第二十五条。</w:t>
            </w:r>
          </w:p>
        </w:tc>
      </w:tr>
    </w:tbl>
    <w:p w14:paraId="54D1C744">
      <w:pPr>
        <w:rPr>
          <w:rFonts w:ascii="Times New Roman" w:hAnsi="Times New Roman"/>
        </w:rPr>
      </w:pPr>
    </w:p>
    <w:tbl>
      <w:tblPr>
        <w:tblStyle w:val="9"/>
        <w:tblW w:w="15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70"/>
        <w:gridCol w:w="8511"/>
        <w:gridCol w:w="5524"/>
      </w:tblGrid>
      <w:tr w14:paraId="7EE7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jc w:val="center"/>
        </w:trPr>
        <w:tc>
          <w:tcPr>
            <w:tcW w:w="750" w:type="dxa"/>
            <w:vAlign w:val="center"/>
          </w:tcPr>
          <w:p w14:paraId="721D6F32">
            <w:pPr>
              <w:snapToGrid w:val="0"/>
              <w:spacing w:line="400" w:lineRule="exact"/>
              <w:jc w:val="center"/>
              <w:rPr>
                <w:rFonts w:eastAsia="方正黑体_GBK" w:cs="方正黑体_GBK"/>
                <w:sz w:val="18"/>
                <w:szCs w:val="18"/>
              </w:rPr>
            </w:pPr>
            <w:r>
              <w:rPr>
                <w:rFonts w:hint="eastAsia" w:eastAsia="方正黑体_GBK" w:cs="方正黑体_GBK"/>
                <w:sz w:val="18"/>
                <w:szCs w:val="18"/>
              </w:rPr>
              <w:t>表13</w:t>
            </w:r>
          </w:p>
        </w:tc>
        <w:tc>
          <w:tcPr>
            <w:tcW w:w="14805" w:type="dxa"/>
            <w:gridSpan w:val="3"/>
            <w:vAlign w:val="center"/>
          </w:tcPr>
          <w:p w14:paraId="42F2C17F">
            <w:pPr>
              <w:snapToGrid w:val="0"/>
              <w:spacing w:line="400" w:lineRule="exact"/>
              <w:jc w:val="center"/>
              <w:rPr>
                <w:rFonts w:eastAsia="方正黑体_GBK" w:cs="方正黑体_GBK"/>
                <w:sz w:val="18"/>
                <w:szCs w:val="18"/>
              </w:rPr>
            </w:pPr>
            <w:r>
              <w:rPr>
                <w:rFonts w:hint="eastAsia" w:eastAsia="方正黑体_GBK" w:cs="方正黑体_GBK"/>
                <w:sz w:val="18"/>
                <w:szCs w:val="18"/>
              </w:rPr>
              <w:t>医疗器械互联网销售第三方平台主体责任清单</w:t>
            </w:r>
          </w:p>
        </w:tc>
      </w:tr>
      <w:tr w14:paraId="1E3A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750" w:type="dxa"/>
            <w:vAlign w:val="center"/>
          </w:tcPr>
          <w:p w14:paraId="5CF5813E">
            <w:pPr>
              <w:snapToGrid w:val="0"/>
              <w:spacing w:line="400" w:lineRule="exact"/>
              <w:jc w:val="center"/>
              <w:rPr>
                <w:rFonts w:eastAsia="方正黑体_GBK" w:cs="方正黑体_GBK"/>
                <w:sz w:val="18"/>
                <w:szCs w:val="18"/>
              </w:rPr>
            </w:pPr>
            <w:r>
              <w:rPr>
                <w:rFonts w:hint="eastAsia" w:eastAsia="方正黑体_GBK" w:cs="方正黑体_GBK"/>
                <w:sz w:val="18"/>
                <w:szCs w:val="18"/>
              </w:rPr>
              <w:t>分类</w:t>
            </w:r>
          </w:p>
        </w:tc>
        <w:tc>
          <w:tcPr>
            <w:tcW w:w="770" w:type="dxa"/>
            <w:vAlign w:val="center"/>
          </w:tcPr>
          <w:p w14:paraId="39B0AD96">
            <w:pPr>
              <w:snapToGrid w:val="0"/>
              <w:spacing w:line="400" w:lineRule="exact"/>
              <w:jc w:val="center"/>
              <w:rPr>
                <w:rFonts w:eastAsia="方正黑体_GBK" w:cs="方正黑体_GBK"/>
                <w:sz w:val="18"/>
                <w:szCs w:val="18"/>
              </w:rPr>
            </w:pPr>
            <w:r>
              <w:rPr>
                <w:rFonts w:hint="eastAsia" w:eastAsia="方正黑体_GBK" w:cs="方正黑体_GBK"/>
                <w:sz w:val="18"/>
                <w:szCs w:val="18"/>
              </w:rPr>
              <w:t>序号</w:t>
            </w:r>
          </w:p>
        </w:tc>
        <w:tc>
          <w:tcPr>
            <w:tcW w:w="8511" w:type="dxa"/>
            <w:vAlign w:val="center"/>
          </w:tcPr>
          <w:p w14:paraId="3BECB142">
            <w:pPr>
              <w:snapToGrid w:val="0"/>
              <w:spacing w:line="400" w:lineRule="exact"/>
              <w:jc w:val="center"/>
              <w:rPr>
                <w:rFonts w:eastAsia="方正黑体_GBK" w:cs="方正黑体_GBK"/>
                <w:sz w:val="18"/>
                <w:szCs w:val="18"/>
              </w:rPr>
            </w:pPr>
            <w:r>
              <w:rPr>
                <w:rFonts w:hint="eastAsia" w:eastAsia="方正黑体_GBK" w:cs="方正黑体_GBK"/>
                <w:sz w:val="18"/>
                <w:szCs w:val="18"/>
              </w:rPr>
              <w:t>主体责任</w:t>
            </w:r>
          </w:p>
        </w:tc>
        <w:tc>
          <w:tcPr>
            <w:tcW w:w="5524" w:type="dxa"/>
            <w:vAlign w:val="center"/>
          </w:tcPr>
          <w:p w14:paraId="54A4B4EC">
            <w:pPr>
              <w:snapToGrid w:val="0"/>
              <w:spacing w:line="400" w:lineRule="exact"/>
              <w:jc w:val="center"/>
              <w:rPr>
                <w:rFonts w:eastAsia="方正黑体_GBK" w:cs="方正黑体_GBK"/>
                <w:sz w:val="18"/>
                <w:szCs w:val="18"/>
              </w:rPr>
            </w:pPr>
            <w:r>
              <w:rPr>
                <w:rFonts w:hint="eastAsia" w:eastAsia="方正黑体_GBK" w:cs="方正黑体_GBK"/>
                <w:sz w:val="18"/>
                <w:szCs w:val="18"/>
              </w:rPr>
              <w:t>责任依据</w:t>
            </w:r>
          </w:p>
        </w:tc>
      </w:tr>
      <w:tr w14:paraId="2B60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50" w:type="dxa"/>
            <w:vMerge w:val="restart"/>
            <w:vAlign w:val="center"/>
          </w:tcPr>
          <w:p w14:paraId="55D0E08C">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备案管理</w:t>
            </w:r>
          </w:p>
        </w:tc>
        <w:tc>
          <w:tcPr>
            <w:tcW w:w="770" w:type="dxa"/>
            <w:vAlign w:val="center"/>
          </w:tcPr>
          <w:p w14:paraId="2C2A5FEE">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w:t>
            </w:r>
          </w:p>
        </w:tc>
        <w:tc>
          <w:tcPr>
            <w:tcW w:w="8511" w:type="dxa"/>
            <w:vAlign w:val="center"/>
          </w:tcPr>
          <w:p w14:paraId="741C2CB2">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医疗器械网络交易服务第三方平台提供者应当依法取得《互联网药品信息服务资格证书》。</w:t>
            </w:r>
          </w:p>
        </w:tc>
        <w:tc>
          <w:tcPr>
            <w:tcW w:w="5524" w:type="dxa"/>
            <w:vAlign w:val="center"/>
          </w:tcPr>
          <w:p w14:paraId="5CED5660">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《医疗器械网络销售监督管理办法》第十五条。</w:t>
            </w:r>
          </w:p>
        </w:tc>
      </w:tr>
      <w:tr w14:paraId="3F6A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750" w:type="dxa"/>
            <w:vMerge w:val="continue"/>
            <w:vAlign w:val="center"/>
          </w:tcPr>
          <w:p w14:paraId="6958781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70" w:type="dxa"/>
            <w:vAlign w:val="center"/>
          </w:tcPr>
          <w:p w14:paraId="190FD216">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w:t>
            </w:r>
          </w:p>
        </w:tc>
        <w:tc>
          <w:tcPr>
            <w:tcW w:w="8511" w:type="dxa"/>
            <w:vAlign w:val="center"/>
          </w:tcPr>
          <w:p w14:paraId="336752FE">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医疗器械网络交易服务第三方平台提供者应当向所在地省级食品药品监督管理部门备案，并提交材料：</w:t>
            </w:r>
          </w:p>
          <w:p w14:paraId="022A9302">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（一）营业执照原件、复印件；</w:t>
            </w:r>
          </w:p>
          <w:p w14:paraId="2FDEAED1">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（二）法定代表人或者主要负责人、医疗器械质量安全管理人身份证明原件、复印件；</w:t>
            </w:r>
          </w:p>
          <w:p w14:paraId="0E2FD798">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（三）组织机构与部门设置说明；</w:t>
            </w:r>
          </w:p>
          <w:p w14:paraId="2498AC74">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（四）办公场所地理位置图、房屋产权证明文件或者租赁协议（附房屋产权证明文件）原件、复印件；</w:t>
            </w:r>
          </w:p>
          <w:p w14:paraId="3DB86AF7">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（五）电信业务经营许可证原件、复印件或者非经营性互联网信息服务备案说明；</w:t>
            </w:r>
          </w:p>
          <w:p w14:paraId="6F8A826D">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（六）《互联网药品信息服务资格证书》原件、复印件；</w:t>
            </w:r>
          </w:p>
          <w:p w14:paraId="5AF12655">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（七）医疗器械网络交易服务质量管理制度等文件目录；</w:t>
            </w:r>
          </w:p>
          <w:p w14:paraId="354490AF">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（八）网站或者网络客户端应用程序基本情况介绍和功能说明；</w:t>
            </w:r>
          </w:p>
          <w:p w14:paraId="64D3F063">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（九）其他相关证明材料。</w:t>
            </w:r>
          </w:p>
          <w:p w14:paraId="799A08FE">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备案信息包括企业名称、法定代表人或者主要负责人、网站名称、网络客户端应用程序名、网站域名、网站IP地址、电信业务经营许可证或者非经营性互联网信息服务备案编号、医疗器械网络交易服务第三方平台备案凭证编号等。</w:t>
            </w:r>
          </w:p>
        </w:tc>
        <w:tc>
          <w:tcPr>
            <w:tcW w:w="5524" w:type="dxa"/>
            <w:vAlign w:val="center"/>
          </w:tcPr>
          <w:p w14:paraId="19064BFF">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《医疗器械网络销售监督管理办法》第十六条、第十七条。</w:t>
            </w:r>
          </w:p>
        </w:tc>
      </w:tr>
      <w:tr w14:paraId="4A54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50" w:type="dxa"/>
            <w:vMerge w:val="continue"/>
            <w:vAlign w:val="center"/>
          </w:tcPr>
          <w:p w14:paraId="763D498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70" w:type="dxa"/>
            <w:vAlign w:val="center"/>
          </w:tcPr>
          <w:p w14:paraId="63DC3341">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w:t>
            </w:r>
          </w:p>
        </w:tc>
        <w:tc>
          <w:tcPr>
            <w:tcW w:w="8511" w:type="dxa"/>
            <w:vAlign w:val="center"/>
          </w:tcPr>
          <w:p w14:paraId="7F9366C0">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备案信息发生变化的，应当及时变更备案。</w:t>
            </w:r>
          </w:p>
        </w:tc>
        <w:tc>
          <w:tcPr>
            <w:tcW w:w="5524" w:type="dxa"/>
            <w:vAlign w:val="center"/>
          </w:tcPr>
          <w:p w14:paraId="49BCCC23">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《医疗器械网络销售监督管理办法》第十八条。</w:t>
            </w:r>
          </w:p>
        </w:tc>
      </w:tr>
      <w:tr w14:paraId="5321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50" w:type="dxa"/>
            <w:vMerge w:val="continue"/>
            <w:vAlign w:val="center"/>
          </w:tcPr>
          <w:p w14:paraId="39D6070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70" w:type="dxa"/>
            <w:vAlign w:val="center"/>
          </w:tcPr>
          <w:p w14:paraId="5E1CEE34">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w:t>
            </w:r>
          </w:p>
        </w:tc>
        <w:tc>
          <w:tcPr>
            <w:tcW w:w="8511" w:type="dxa"/>
            <w:vAlign w:val="center"/>
          </w:tcPr>
          <w:p w14:paraId="0B431023">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备案主体应当具备与其规模相适应的办公场所以及数据备份、故障恢复等技术条件。</w:t>
            </w:r>
          </w:p>
        </w:tc>
        <w:tc>
          <w:tcPr>
            <w:tcW w:w="5524" w:type="dxa"/>
            <w:vAlign w:val="center"/>
          </w:tcPr>
          <w:p w14:paraId="759F93E3">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《医疗器械网络销售监督管理办法》第十五条。</w:t>
            </w:r>
          </w:p>
        </w:tc>
      </w:tr>
      <w:tr w14:paraId="6579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vAlign w:val="center"/>
          </w:tcPr>
          <w:p w14:paraId="39457808">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组织机构与部门设置</w:t>
            </w:r>
          </w:p>
        </w:tc>
        <w:tc>
          <w:tcPr>
            <w:tcW w:w="770" w:type="dxa"/>
            <w:vAlign w:val="center"/>
          </w:tcPr>
          <w:p w14:paraId="30019E02">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8511" w:type="dxa"/>
            <w:vAlign w:val="center"/>
          </w:tcPr>
          <w:p w14:paraId="38BD3D42">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医疗器械网络交易服务第三方平台提供者应当遵守医疗器械法规、规章和规范，建立健全管理制度，依法诚信经营，保证医疗器械质量安全。</w:t>
            </w:r>
          </w:p>
        </w:tc>
        <w:tc>
          <w:tcPr>
            <w:tcW w:w="5524" w:type="dxa"/>
            <w:vAlign w:val="center"/>
          </w:tcPr>
          <w:p w14:paraId="4E03C138">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《医疗器械网络销售监督管理办法》第四条。</w:t>
            </w:r>
          </w:p>
        </w:tc>
      </w:tr>
      <w:tr w14:paraId="0BB6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750" w:type="dxa"/>
            <w:vAlign w:val="center"/>
          </w:tcPr>
          <w:p w14:paraId="4077FDD3">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质量管理机构或人员</w:t>
            </w:r>
          </w:p>
        </w:tc>
        <w:tc>
          <w:tcPr>
            <w:tcW w:w="770" w:type="dxa"/>
            <w:vAlign w:val="center"/>
          </w:tcPr>
          <w:p w14:paraId="345F89B4">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8511" w:type="dxa"/>
            <w:vAlign w:val="center"/>
          </w:tcPr>
          <w:p w14:paraId="060DF0C1">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备案主体应当设置专门的医疗器械网络质量安全管理机构或者配备医疗器械质量安全管理人员。</w:t>
            </w:r>
          </w:p>
        </w:tc>
        <w:tc>
          <w:tcPr>
            <w:tcW w:w="5524" w:type="dxa"/>
            <w:vAlign w:val="center"/>
          </w:tcPr>
          <w:p w14:paraId="1CCEAC43">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《医疗器械网络销售监督管理办法》第十五条。</w:t>
            </w:r>
          </w:p>
        </w:tc>
      </w:tr>
      <w:tr w14:paraId="2053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750" w:type="dxa"/>
            <w:vAlign w:val="center"/>
          </w:tcPr>
          <w:p w14:paraId="7B23D714">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管理制度</w:t>
            </w:r>
          </w:p>
        </w:tc>
        <w:tc>
          <w:tcPr>
            <w:tcW w:w="770" w:type="dxa"/>
            <w:vAlign w:val="center"/>
          </w:tcPr>
          <w:p w14:paraId="2CD05B2D">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w:t>
            </w:r>
          </w:p>
        </w:tc>
        <w:tc>
          <w:tcPr>
            <w:tcW w:w="8511" w:type="dxa"/>
            <w:vAlign w:val="center"/>
          </w:tcPr>
          <w:p w14:paraId="3F349470">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医疗器械网络交易服务第三方平台提供者应当遵守医疗器械法规、规章和规范，建立健全管理制度，依法诚信经营，保证医疗器械质量安全。</w:t>
            </w:r>
          </w:p>
          <w:p w14:paraId="361EEAA1">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交易服务第三方平台提供者应当建立包括入驻平台的企业核实登记、质量安全监测、交易安全保障、网络销售违法行为制止及报告、严重违法行为平台服务停止、安全投诉举报处理、消费者权益保护、质量安全信息公告等管理制度。</w:t>
            </w:r>
          </w:p>
        </w:tc>
        <w:tc>
          <w:tcPr>
            <w:tcW w:w="5524" w:type="dxa"/>
            <w:vAlign w:val="center"/>
          </w:tcPr>
          <w:p w14:paraId="35D1E176">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《医疗器械网络销售监督管理办法》第四条、第二十条。</w:t>
            </w:r>
          </w:p>
        </w:tc>
      </w:tr>
      <w:tr w14:paraId="7271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750" w:type="dxa"/>
            <w:vAlign w:val="center"/>
          </w:tcPr>
          <w:p w14:paraId="0AB430E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入驻企业管理</w:t>
            </w:r>
          </w:p>
        </w:tc>
        <w:tc>
          <w:tcPr>
            <w:tcW w:w="770" w:type="dxa"/>
            <w:vAlign w:val="center"/>
          </w:tcPr>
          <w:p w14:paraId="478D31D6">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8511" w:type="dxa"/>
            <w:vAlign w:val="center"/>
          </w:tcPr>
          <w:p w14:paraId="1E7725B4">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医疗器械网络交易服务第三方平台提供者应当采取技术措施，保障医疗器械网络销售数据和资料的真实、完整、可追溯。</w:t>
            </w:r>
          </w:p>
          <w:p w14:paraId="1AA4DA29">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医疗器械网络交易服务第三方平台提供者应当积极配合食品药品监督管理部门开展网络监测、抽样检验、现场检查等监督管理，按照食品药品监督管理部门的要求存储数据，提供信息查询、数据提取等相关支持。</w:t>
            </w:r>
          </w:p>
        </w:tc>
        <w:tc>
          <w:tcPr>
            <w:tcW w:w="5524" w:type="dxa"/>
            <w:vAlign w:val="center"/>
          </w:tcPr>
          <w:p w14:paraId="3D0A09E3">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《医疗器械网络销售监督管理办法》第五条、第六条。</w:t>
            </w:r>
          </w:p>
        </w:tc>
      </w:tr>
      <w:tr w14:paraId="500B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atLeast"/>
          <w:jc w:val="center"/>
        </w:trPr>
        <w:tc>
          <w:tcPr>
            <w:tcW w:w="750" w:type="dxa"/>
            <w:vMerge w:val="restart"/>
            <w:vAlign w:val="center"/>
          </w:tcPr>
          <w:p w14:paraId="37A11A9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入驻企业管理</w:t>
            </w:r>
          </w:p>
        </w:tc>
        <w:tc>
          <w:tcPr>
            <w:tcW w:w="770" w:type="dxa"/>
            <w:vAlign w:val="center"/>
          </w:tcPr>
          <w:p w14:paraId="084EE642">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9</w:t>
            </w:r>
          </w:p>
        </w:tc>
        <w:tc>
          <w:tcPr>
            <w:tcW w:w="8511" w:type="dxa"/>
            <w:vAlign w:val="center"/>
          </w:tcPr>
          <w:p w14:paraId="4619784F">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从事医疗器械网络销售的企业，应当通过自建网站或者医疗器械网络交易服务第三方平台开展医疗器械网络销售活动。《办法》第七条：从事医疗器械网络销售的企业应当是依法取得医疗器械生产许可、经营许可或者办理备案的医疗器械生产经营企业。法律法规规定不需要办理许可或者备案的除外。《办法》第八条：从事医疗器械网络销售的企业，应当填写医疗器械网络销售信息表，将企业名称、法定代表人或者主要负责人、网站名称、网络客户端应用程序名、网站域名、网站IP地址、电信业务经营许可证或者非经营性互联网信息服务备案编号、医疗器械生产经营许可证件或者备案凭证编号等信息事先向所在地设区的市级食品药品监督管理部门备案。相关信息发生变化的，应当及时变更备案。</w:t>
            </w:r>
          </w:p>
        </w:tc>
        <w:tc>
          <w:tcPr>
            <w:tcW w:w="5524" w:type="dxa"/>
            <w:vAlign w:val="center"/>
          </w:tcPr>
          <w:p w14:paraId="37E7DB36">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《医疗器械网络销售监督管理办法》第九条。</w:t>
            </w:r>
          </w:p>
        </w:tc>
      </w:tr>
      <w:tr w14:paraId="67BF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50" w:type="dxa"/>
            <w:vMerge w:val="continue"/>
            <w:vAlign w:val="center"/>
          </w:tcPr>
          <w:p w14:paraId="51D9612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70" w:type="dxa"/>
            <w:vAlign w:val="center"/>
          </w:tcPr>
          <w:p w14:paraId="1A78FD4F">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8511" w:type="dxa"/>
            <w:vAlign w:val="center"/>
          </w:tcPr>
          <w:p w14:paraId="0371B75B">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备案主体应当对申请入驻平台的企业提供的医疗器械生产经营许可证件或者备案凭证、医疗器械注册证或者备案凭证、企业营业执照等材料进行核实，建立档案并及时更新，保证入驻平台的企业许可证件或者备案凭证所载明的生产经营场所等许可或者备案信息真实。</w:t>
            </w:r>
          </w:p>
        </w:tc>
        <w:tc>
          <w:tcPr>
            <w:tcW w:w="5524" w:type="dxa"/>
            <w:vAlign w:val="center"/>
          </w:tcPr>
          <w:p w14:paraId="2A3C777D">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《医疗器械网络销售监督管理办法》第二十一条。</w:t>
            </w:r>
          </w:p>
        </w:tc>
      </w:tr>
      <w:tr w14:paraId="0BC4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Merge w:val="continue"/>
            <w:vAlign w:val="center"/>
          </w:tcPr>
          <w:p w14:paraId="556955E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70" w:type="dxa"/>
            <w:vAlign w:val="center"/>
          </w:tcPr>
          <w:p w14:paraId="3E02E549">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11</w:t>
            </w:r>
          </w:p>
        </w:tc>
        <w:tc>
          <w:tcPr>
            <w:tcW w:w="8511" w:type="dxa"/>
            <w:vAlign w:val="center"/>
          </w:tcPr>
          <w:p w14:paraId="582BC3D6">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备案主体应当与入驻平台的企业签订入驻协议，并在协议中明确双方义务及违约处置措施等相关内容。</w:t>
            </w:r>
          </w:p>
        </w:tc>
        <w:tc>
          <w:tcPr>
            <w:tcW w:w="5524" w:type="dxa"/>
            <w:vAlign w:val="center"/>
          </w:tcPr>
          <w:p w14:paraId="718FDDBA">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《医疗器械网络销售监督管理办法》第二十一条。</w:t>
            </w:r>
          </w:p>
        </w:tc>
      </w:tr>
      <w:tr w14:paraId="5993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750" w:type="dxa"/>
            <w:vAlign w:val="center"/>
          </w:tcPr>
          <w:p w14:paraId="2FA6DB3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交易信息管理</w:t>
            </w:r>
          </w:p>
        </w:tc>
        <w:tc>
          <w:tcPr>
            <w:tcW w:w="770" w:type="dxa"/>
            <w:vAlign w:val="center"/>
          </w:tcPr>
          <w:p w14:paraId="6269271E">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12</w:t>
            </w:r>
          </w:p>
        </w:tc>
        <w:tc>
          <w:tcPr>
            <w:tcW w:w="8511" w:type="dxa"/>
            <w:vAlign w:val="center"/>
          </w:tcPr>
          <w:p w14:paraId="4AD1205F">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医疗器械网络交易服务第三方平台提供者应当采取技术措施，保障医疗器械网络销售数据和资料的真实、完整、可追溯。</w:t>
            </w:r>
          </w:p>
          <w:p w14:paraId="0213C597">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从事医疗器械网络销售的企业，应当通过自建网站或者医疗器械网络交易服务第三方平台开展医疗器械网络销售活动。</w:t>
            </w:r>
          </w:p>
          <w:p w14:paraId="17962862">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从事医疗器械网络销售的企业应当是依法取得医疗器械生产许可、经营许可或者办理备案的医疗器械生产经营企业。法律法规规定不需要办理许可或者备案的除外。</w:t>
            </w:r>
          </w:p>
        </w:tc>
        <w:tc>
          <w:tcPr>
            <w:tcW w:w="5524" w:type="dxa"/>
            <w:vAlign w:val="center"/>
          </w:tcPr>
          <w:p w14:paraId="6D7F6660">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《医疗器械网络销售监督管理办法》第五条、第七条、第九条。</w:t>
            </w:r>
          </w:p>
        </w:tc>
      </w:tr>
      <w:tr w14:paraId="5896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750" w:type="dxa"/>
            <w:vAlign w:val="center"/>
          </w:tcPr>
          <w:p w14:paraId="1B21A24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交易信息管理</w:t>
            </w:r>
          </w:p>
        </w:tc>
        <w:tc>
          <w:tcPr>
            <w:tcW w:w="770" w:type="dxa"/>
            <w:vAlign w:val="center"/>
          </w:tcPr>
          <w:p w14:paraId="752AF2CF">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13</w:t>
            </w:r>
          </w:p>
        </w:tc>
        <w:tc>
          <w:tcPr>
            <w:tcW w:w="8511" w:type="dxa"/>
            <w:vAlign w:val="center"/>
          </w:tcPr>
          <w:p w14:paraId="64A6CF29">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交易服务第三方平台提供者应当记录在其平台上开展的医疗器械交易信息，记录应当保存至医疗器械有效期后2年；无有效期的，保存时间不得少于5年；植入类医疗器械交易信息应当永久保存。相关记录应当真实、完整、可追溯。</w:t>
            </w:r>
          </w:p>
        </w:tc>
        <w:tc>
          <w:tcPr>
            <w:tcW w:w="5524" w:type="dxa"/>
            <w:vAlign w:val="center"/>
          </w:tcPr>
          <w:p w14:paraId="22A54179">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《医疗器械网络销售监督管理办法》第二十二条。</w:t>
            </w:r>
          </w:p>
        </w:tc>
      </w:tr>
      <w:tr w14:paraId="3B64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750" w:type="dxa"/>
            <w:vMerge w:val="restart"/>
            <w:vAlign w:val="center"/>
          </w:tcPr>
          <w:p w14:paraId="1C5DE6D6">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交易行为管理</w:t>
            </w:r>
          </w:p>
        </w:tc>
        <w:tc>
          <w:tcPr>
            <w:tcW w:w="770" w:type="dxa"/>
            <w:vAlign w:val="center"/>
          </w:tcPr>
          <w:p w14:paraId="57A539E3">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14</w:t>
            </w:r>
          </w:p>
        </w:tc>
        <w:tc>
          <w:tcPr>
            <w:tcW w:w="8511" w:type="dxa"/>
            <w:vAlign w:val="center"/>
          </w:tcPr>
          <w:p w14:paraId="7A7336C1">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交易服务第三方平台提供者应当对平台上的医疗器械销售行为及信息进行监测，发现入驻网络交易服务第三方平台的企业存在超范围经营、发布虚假信息、夸大宣传等违法违规行为、无法取得联系或者存在其他严重安全隐患的，应当立即对其停止网络交易服务，并保存有关记录，向所在地省级食品药品监督管理部门报告。</w:t>
            </w:r>
          </w:p>
        </w:tc>
        <w:tc>
          <w:tcPr>
            <w:tcW w:w="5524" w:type="dxa"/>
            <w:vAlign w:val="center"/>
          </w:tcPr>
          <w:p w14:paraId="6CA55BC2">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《医疗器械网络销售监督管理办法》第二十三条。</w:t>
            </w:r>
          </w:p>
        </w:tc>
      </w:tr>
      <w:tr w14:paraId="633B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750" w:type="dxa"/>
            <w:vMerge w:val="continue"/>
            <w:vAlign w:val="center"/>
          </w:tcPr>
          <w:p w14:paraId="53A350E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770" w:type="dxa"/>
            <w:vAlign w:val="center"/>
          </w:tcPr>
          <w:p w14:paraId="1BAC5A3F">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15</w:t>
            </w:r>
          </w:p>
        </w:tc>
        <w:tc>
          <w:tcPr>
            <w:tcW w:w="8511" w:type="dxa"/>
            <w:vAlign w:val="center"/>
          </w:tcPr>
          <w:p w14:paraId="2D52A9E5">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发现入驻网络交易服务第三方平台的企业被食品药品监督管理部门责令停产停业、吊销许可证件等处罚，或者平台交易的产品被食品药品监督管理部门暂停销售或者停止销售的，应当立即停止提供相关网络交易服务。</w:t>
            </w:r>
          </w:p>
        </w:tc>
        <w:tc>
          <w:tcPr>
            <w:tcW w:w="5524" w:type="dxa"/>
            <w:vAlign w:val="center"/>
          </w:tcPr>
          <w:p w14:paraId="4B370645">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《医疗器械网络销售监督管理办法》第二十三条。</w:t>
            </w:r>
          </w:p>
        </w:tc>
      </w:tr>
    </w:tbl>
    <w:p w14:paraId="6AA6E833">
      <w:pPr>
        <w:rPr>
          <w:rFonts w:ascii="Times New Roman" w:hAnsi="Times New Roman"/>
        </w:rPr>
      </w:pPr>
    </w:p>
    <w:p w14:paraId="38F72792">
      <w:pPr>
        <w:rPr>
          <w:rFonts w:ascii="Times New Roman" w:hAnsi="Times New Roman"/>
        </w:rPr>
      </w:pPr>
    </w:p>
    <w:p w14:paraId="71D2D7B8">
      <w:pPr>
        <w:rPr>
          <w:rFonts w:ascii="Times New Roman" w:hAnsi="Times New Roman"/>
        </w:rPr>
      </w:pPr>
    </w:p>
    <w:p w14:paraId="7849739F">
      <w:pPr>
        <w:rPr>
          <w:rFonts w:ascii="Times New Roman" w:hAnsi="Times New Roman"/>
        </w:rPr>
      </w:pPr>
    </w:p>
    <w:p w14:paraId="15FC0118">
      <w:pPr>
        <w:rPr>
          <w:rFonts w:ascii="Times New Roman" w:hAnsi="Times New Roman"/>
        </w:rPr>
      </w:pPr>
    </w:p>
    <w:tbl>
      <w:tblPr>
        <w:tblStyle w:val="9"/>
        <w:tblW w:w="155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2"/>
        <w:gridCol w:w="770"/>
        <w:gridCol w:w="8511"/>
        <w:gridCol w:w="5527"/>
      </w:tblGrid>
      <w:tr w14:paraId="25411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blHeader/>
          <w:jc w:val="center"/>
        </w:trPr>
        <w:tc>
          <w:tcPr>
            <w:tcW w:w="752" w:type="dxa"/>
            <w:vAlign w:val="center"/>
          </w:tcPr>
          <w:p w14:paraId="3AFB45B6">
            <w:pPr>
              <w:widowControl/>
              <w:snapToGrid w:val="0"/>
              <w:spacing w:line="400" w:lineRule="exact"/>
              <w:jc w:val="center"/>
              <w:rPr>
                <w:rFonts w:eastAsia="方正黑体_GBK" w:cs="Calibri"/>
                <w:bCs/>
                <w:kern w:val="0"/>
                <w:sz w:val="18"/>
                <w:szCs w:val="18"/>
              </w:rPr>
            </w:pPr>
            <w:r>
              <w:rPr>
                <w:rFonts w:hint="eastAsia" w:eastAsia="方正黑体_GBK" w:cs="Calibri"/>
                <w:bCs/>
                <w:kern w:val="0"/>
                <w:sz w:val="18"/>
                <w:szCs w:val="18"/>
              </w:rPr>
              <w:t>表14</w:t>
            </w:r>
          </w:p>
        </w:tc>
        <w:tc>
          <w:tcPr>
            <w:tcW w:w="14808" w:type="dxa"/>
            <w:gridSpan w:val="3"/>
            <w:vAlign w:val="center"/>
          </w:tcPr>
          <w:p w14:paraId="1D7E6110">
            <w:pPr>
              <w:widowControl/>
              <w:snapToGrid w:val="0"/>
              <w:spacing w:line="400" w:lineRule="exact"/>
              <w:jc w:val="center"/>
              <w:rPr>
                <w:rFonts w:eastAsia="方正黑体_GBK" w:cs="Calibri"/>
                <w:bCs/>
                <w:kern w:val="0"/>
                <w:sz w:val="18"/>
                <w:szCs w:val="18"/>
              </w:rPr>
            </w:pPr>
            <w:r>
              <w:rPr>
                <w:rFonts w:hint="eastAsia" w:eastAsia="方正黑体_GBK" w:cs="Calibri"/>
                <w:bCs/>
                <w:kern w:val="0"/>
                <w:sz w:val="18"/>
                <w:szCs w:val="18"/>
              </w:rPr>
              <w:t>药品零售企业主体责任清单</w:t>
            </w:r>
          </w:p>
        </w:tc>
      </w:tr>
      <w:tr w14:paraId="567F6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tblHeader/>
          <w:jc w:val="center"/>
        </w:trPr>
        <w:tc>
          <w:tcPr>
            <w:tcW w:w="752" w:type="dxa"/>
            <w:vAlign w:val="center"/>
          </w:tcPr>
          <w:p w14:paraId="6437F2E7">
            <w:pPr>
              <w:widowControl/>
              <w:snapToGrid w:val="0"/>
              <w:spacing w:line="400" w:lineRule="exact"/>
              <w:jc w:val="center"/>
              <w:rPr>
                <w:rFonts w:eastAsia="方正黑体_GBK" w:cs="Calibri"/>
                <w:bCs/>
                <w:kern w:val="0"/>
                <w:sz w:val="18"/>
                <w:szCs w:val="18"/>
              </w:rPr>
            </w:pPr>
            <w:r>
              <w:rPr>
                <w:rFonts w:hint="eastAsia" w:eastAsia="方正黑体_GBK" w:cs="Calibri"/>
                <w:bCs/>
                <w:kern w:val="0"/>
                <w:sz w:val="18"/>
                <w:szCs w:val="18"/>
              </w:rPr>
              <w:t>分类</w:t>
            </w:r>
          </w:p>
        </w:tc>
        <w:tc>
          <w:tcPr>
            <w:tcW w:w="770" w:type="dxa"/>
            <w:vAlign w:val="center"/>
          </w:tcPr>
          <w:p w14:paraId="6EB627CF">
            <w:pPr>
              <w:widowControl/>
              <w:snapToGrid w:val="0"/>
              <w:spacing w:line="400" w:lineRule="exact"/>
              <w:jc w:val="center"/>
              <w:rPr>
                <w:rFonts w:eastAsia="方正黑体_GBK" w:cs="Calibri"/>
                <w:bCs/>
                <w:kern w:val="0"/>
                <w:sz w:val="18"/>
                <w:szCs w:val="18"/>
              </w:rPr>
            </w:pPr>
            <w:r>
              <w:rPr>
                <w:rFonts w:hint="eastAsia" w:eastAsia="方正黑体_GBK" w:cs="Calibri"/>
                <w:bCs/>
                <w:kern w:val="0"/>
                <w:sz w:val="18"/>
                <w:szCs w:val="18"/>
              </w:rPr>
              <w:t>序号</w:t>
            </w:r>
          </w:p>
        </w:tc>
        <w:tc>
          <w:tcPr>
            <w:tcW w:w="8511" w:type="dxa"/>
            <w:vAlign w:val="center"/>
          </w:tcPr>
          <w:p w14:paraId="2AD327B5">
            <w:pPr>
              <w:widowControl/>
              <w:snapToGrid w:val="0"/>
              <w:spacing w:line="400" w:lineRule="exact"/>
              <w:jc w:val="center"/>
              <w:rPr>
                <w:rFonts w:eastAsia="方正黑体_GBK" w:cs="Calibri"/>
                <w:bCs/>
                <w:kern w:val="0"/>
                <w:sz w:val="18"/>
                <w:szCs w:val="18"/>
              </w:rPr>
            </w:pPr>
            <w:r>
              <w:rPr>
                <w:rFonts w:hint="eastAsia" w:eastAsia="方正黑体_GBK" w:cs="Calibri"/>
                <w:bCs/>
                <w:kern w:val="0"/>
                <w:sz w:val="18"/>
                <w:szCs w:val="18"/>
              </w:rPr>
              <w:t>主体责任</w:t>
            </w:r>
          </w:p>
        </w:tc>
        <w:tc>
          <w:tcPr>
            <w:tcW w:w="5527" w:type="dxa"/>
            <w:vAlign w:val="center"/>
          </w:tcPr>
          <w:p w14:paraId="4F207BF0">
            <w:pPr>
              <w:widowControl/>
              <w:snapToGrid w:val="0"/>
              <w:spacing w:line="400" w:lineRule="exact"/>
              <w:jc w:val="center"/>
              <w:rPr>
                <w:rFonts w:eastAsia="方正黑体_GBK" w:cs="Calibri"/>
                <w:bCs/>
                <w:kern w:val="0"/>
                <w:sz w:val="18"/>
                <w:szCs w:val="18"/>
              </w:rPr>
            </w:pPr>
            <w:r>
              <w:rPr>
                <w:rFonts w:hint="eastAsia" w:eastAsia="方正黑体_GBK" w:cs="Calibri"/>
                <w:bCs/>
                <w:kern w:val="0"/>
                <w:sz w:val="18"/>
                <w:szCs w:val="18"/>
              </w:rPr>
              <w:t>责任依据</w:t>
            </w:r>
          </w:p>
        </w:tc>
      </w:tr>
      <w:tr w14:paraId="6F8C4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752" w:type="dxa"/>
            <w:vMerge w:val="restart"/>
            <w:vAlign w:val="center"/>
          </w:tcPr>
          <w:p w14:paraId="363B4B83">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基本原则</w:t>
            </w:r>
          </w:p>
        </w:tc>
        <w:tc>
          <w:tcPr>
            <w:tcW w:w="770" w:type="dxa"/>
            <w:vAlign w:val="center"/>
          </w:tcPr>
          <w:p w14:paraId="49D6B093">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w:t>
            </w:r>
          </w:p>
        </w:tc>
        <w:tc>
          <w:tcPr>
            <w:tcW w:w="8511" w:type="dxa"/>
            <w:vAlign w:val="center"/>
          </w:tcPr>
          <w:p w14:paraId="4375E5D0">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从事药品经营活动，应当遵守法律、法规、规章、标准和规范，保证全过程信息真实、准确、完整和可追溯。</w:t>
            </w:r>
          </w:p>
        </w:tc>
        <w:tc>
          <w:tcPr>
            <w:tcW w:w="5527" w:type="dxa"/>
            <w:vAlign w:val="center"/>
          </w:tcPr>
          <w:p w14:paraId="18B84725">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《中华人民共和国药品管理法》第七条。</w:t>
            </w:r>
          </w:p>
        </w:tc>
      </w:tr>
      <w:tr w14:paraId="1D462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752" w:type="dxa"/>
            <w:vMerge w:val="restart"/>
            <w:vAlign w:val="center"/>
          </w:tcPr>
          <w:p w14:paraId="4CF314CD">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药品经营许可管理</w:t>
            </w:r>
          </w:p>
        </w:tc>
        <w:tc>
          <w:tcPr>
            <w:tcW w:w="770" w:type="dxa"/>
            <w:vAlign w:val="center"/>
          </w:tcPr>
          <w:p w14:paraId="3DAE0F93">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w:t>
            </w:r>
          </w:p>
        </w:tc>
        <w:tc>
          <w:tcPr>
            <w:tcW w:w="8511" w:type="dxa"/>
            <w:vAlign w:val="center"/>
          </w:tcPr>
          <w:p w14:paraId="34957A20">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从事药品零售活动，应当经所在地县级以上负责药品监督管理的部门批准，取得药品经营许可证。无药品经营许可证的，不得经营药品。</w:t>
            </w:r>
          </w:p>
        </w:tc>
        <w:tc>
          <w:tcPr>
            <w:tcW w:w="5527" w:type="dxa"/>
            <w:vAlign w:val="center"/>
          </w:tcPr>
          <w:p w14:paraId="24A71C3B">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《中华人民共和国药品管理法》第五十一条。</w:t>
            </w:r>
          </w:p>
        </w:tc>
      </w:tr>
      <w:tr w14:paraId="752FB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752" w:type="dxa"/>
            <w:vMerge w:val="continue"/>
            <w:vAlign w:val="top"/>
          </w:tcPr>
          <w:p w14:paraId="296FFAD9">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74AD75EC">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w:t>
            </w:r>
          </w:p>
        </w:tc>
        <w:tc>
          <w:tcPr>
            <w:tcW w:w="8511" w:type="dxa"/>
            <w:vAlign w:val="center"/>
          </w:tcPr>
          <w:p w14:paraId="1EFE929F">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开办药品零售企业应当依据《药品管理法》的规定提出药品经营许可申请，并提交证明其符合《药品管理法》规定条件的资料。</w:t>
            </w:r>
          </w:p>
        </w:tc>
        <w:tc>
          <w:tcPr>
            <w:tcW w:w="5527" w:type="dxa"/>
            <w:vAlign w:val="center"/>
          </w:tcPr>
          <w:p w14:paraId="61F930E6">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《中华人民共和国药品管理法实施条例》第十一条。</w:t>
            </w:r>
          </w:p>
        </w:tc>
      </w:tr>
      <w:tr w14:paraId="508BB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752" w:type="dxa"/>
            <w:vMerge w:val="continue"/>
            <w:vAlign w:val="top"/>
          </w:tcPr>
          <w:p w14:paraId="158F850B">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58107A97">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w:t>
            </w:r>
          </w:p>
        </w:tc>
        <w:tc>
          <w:tcPr>
            <w:tcW w:w="8511" w:type="dxa"/>
            <w:vAlign w:val="center"/>
          </w:tcPr>
          <w:p w14:paraId="47B2FF2F">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药品经营企业变更《药品经营许可证》许可事项的，应当在许可事项发生变更30日前，向原发证机关申请《药品经营许可证》变更登记；未经批准，不得变更许可事项。</w:t>
            </w:r>
          </w:p>
        </w:tc>
        <w:tc>
          <w:tcPr>
            <w:tcW w:w="5527" w:type="dxa"/>
            <w:vAlign w:val="center"/>
          </w:tcPr>
          <w:p w14:paraId="6F5A332E">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《中华人民共和国药品管理法实施条例》第十六条。</w:t>
            </w:r>
          </w:p>
        </w:tc>
      </w:tr>
      <w:tr w14:paraId="5A12F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752" w:type="dxa"/>
            <w:vMerge w:val="continue"/>
            <w:vAlign w:val="top"/>
          </w:tcPr>
          <w:p w14:paraId="47A0CA52">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6A5AEA42">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w:t>
            </w:r>
          </w:p>
        </w:tc>
        <w:tc>
          <w:tcPr>
            <w:tcW w:w="8511" w:type="dxa"/>
            <w:vAlign w:val="center"/>
          </w:tcPr>
          <w:p w14:paraId="3F81F7E4">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药品经营许可证载明的登记事项发生变化的，应当在发生变化起三十日内，向发证机关申请办理药品经营许可证变更登记。发证机关应当在十日内完成变更登记。</w:t>
            </w:r>
          </w:p>
        </w:tc>
        <w:tc>
          <w:tcPr>
            <w:tcW w:w="5527" w:type="dxa"/>
            <w:vAlign w:val="center"/>
          </w:tcPr>
          <w:p w14:paraId="7989DBDC">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《药品经营和使用质量监督管理办法》第二十四条。</w:t>
            </w:r>
          </w:p>
        </w:tc>
      </w:tr>
      <w:tr w14:paraId="510F9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752" w:type="dxa"/>
            <w:vMerge w:val="continue"/>
            <w:vAlign w:val="top"/>
          </w:tcPr>
          <w:p w14:paraId="38C49B81">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0FD0DD49">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w:t>
            </w:r>
          </w:p>
        </w:tc>
        <w:tc>
          <w:tcPr>
            <w:tcW w:w="8511" w:type="dxa"/>
            <w:vAlign w:val="center"/>
          </w:tcPr>
          <w:p w14:paraId="083A2903">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药品经营许可证有效期届满需要继续经营药品的，药品经营企业应当在有效期届满前六个月至两个月期间，向发证机关提出重新审查发证申请。</w:t>
            </w:r>
          </w:p>
        </w:tc>
        <w:tc>
          <w:tcPr>
            <w:tcW w:w="5527" w:type="dxa"/>
            <w:vAlign w:val="center"/>
          </w:tcPr>
          <w:p w14:paraId="602DC713">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《药品经营和使用质量监督管理办法》第二十六条。</w:t>
            </w:r>
          </w:p>
        </w:tc>
      </w:tr>
      <w:tr w14:paraId="495BE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752" w:type="dxa"/>
            <w:vMerge w:val="continue"/>
            <w:vAlign w:val="top"/>
          </w:tcPr>
          <w:p w14:paraId="0110D906">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2563AB96">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w:t>
            </w:r>
          </w:p>
        </w:tc>
        <w:tc>
          <w:tcPr>
            <w:tcW w:w="8511" w:type="dxa"/>
            <w:vAlign w:val="center"/>
          </w:tcPr>
          <w:p w14:paraId="38EB224A">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任何单位或者个人不得伪造、变造、出租、出借、买卖药品经营许可证。</w:t>
            </w:r>
          </w:p>
        </w:tc>
        <w:tc>
          <w:tcPr>
            <w:tcW w:w="5527" w:type="dxa"/>
            <w:vAlign w:val="center"/>
          </w:tcPr>
          <w:p w14:paraId="4C35BAB7">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《药品经营和使用质量监督管理办法》第二十九条。</w:t>
            </w:r>
          </w:p>
        </w:tc>
      </w:tr>
      <w:tr w14:paraId="7BFFD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752" w:type="dxa"/>
            <w:vMerge w:val="restart"/>
            <w:vAlign w:val="center"/>
          </w:tcPr>
          <w:p w14:paraId="7DA321F3">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制度及人员管理</w:t>
            </w:r>
          </w:p>
        </w:tc>
        <w:tc>
          <w:tcPr>
            <w:tcW w:w="770" w:type="dxa"/>
            <w:vAlign w:val="center"/>
          </w:tcPr>
          <w:p w14:paraId="203970C1">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8</w:t>
            </w:r>
          </w:p>
        </w:tc>
        <w:tc>
          <w:tcPr>
            <w:tcW w:w="8511" w:type="dxa"/>
            <w:vAlign w:val="center"/>
          </w:tcPr>
          <w:p w14:paraId="3224357A">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从事药品经营活动，应当遵守药品经营质量管理规范，建立健全药品经营质量管理体系，保证药品经营全过程持续符合法定要求。</w:t>
            </w:r>
          </w:p>
          <w:p w14:paraId="61A5E5F1">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药品经营企业的法定代表人、主要负责人对本企业的药品经营活动全面负责。</w:t>
            </w:r>
          </w:p>
        </w:tc>
        <w:tc>
          <w:tcPr>
            <w:tcW w:w="5527" w:type="dxa"/>
            <w:vAlign w:val="center"/>
          </w:tcPr>
          <w:p w14:paraId="1E9257CC">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《中华人民共和国药品管理法》第五十三条。</w:t>
            </w:r>
          </w:p>
        </w:tc>
      </w:tr>
      <w:tr w14:paraId="384B3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752" w:type="dxa"/>
            <w:vMerge w:val="continue"/>
            <w:vAlign w:val="top"/>
          </w:tcPr>
          <w:p w14:paraId="5E02C54E">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672C5E58">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9</w:t>
            </w:r>
          </w:p>
        </w:tc>
        <w:tc>
          <w:tcPr>
            <w:tcW w:w="8511" w:type="dxa"/>
            <w:vAlign w:val="center"/>
          </w:tcPr>
          <w:p w14:paraId="145CBC31">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药品经营企业应当开展评估、验证、审核等质量管理活动，对已识别的风险及时采取有效控制措施，保证药品质量。</w:t>
            </w:r>
          </w:p>
        </w:tc>
        <w:tc>
          <w:tcPr>
            <w:tcW w:w="5527" w:type="dxa"/>
            <w:vAlign w:val="center"/>
          </w:tcPr>
          <w:p w14:paraId="48B141A2">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《药品经营和使用质量监督管理办法》第三十二条。</w:t>
            </w:r>
          </w:p>
        </w:tc>
      </w:tr>
      <w:tr w14:paraId="41BDA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jc w:val="center"/>
        </w:trPr>
        <w:tc>
          <w:tcPr>
            <w:tcW w:w="752" w:type="dxa"/>
            <w:vMerge w:val="restart"/>
            <w:vAlign w:val="center"/>
          </w:tcPr>
          <w:p w14:paraId="386CF76F">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制度及人员管理</w:t>
            </w:r>
          </w:p>
        </w:tc>
        <w:tc>
          <w:tcPr>
            <w:tcW w:w="770" w:type="dxa"/>
            <w:vAlign w:val="center"/>
          </w:tcPr>
          <w:p w14:paraId="50318DF5">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10</w:t>
            </w:r>
          </w:p>
        </w:tc>
        <w:tc>
          <w:tcPr>
            <w:tcW w:w="8511" w:type="dxa"/>
            <w:vAlign w:val="center"/>
          </w:tcPr>
          <w:p w14:paraId="4200A2F8">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药品经营企业应当制定和执行药品保管制度，采取必要的冷藏、防冻、防潮、防虫、防鼠等措施，保证药品质量。</w:t>
            </w:r>
          </w:p>
          <w:p w14:paraId="5BD4BCB3">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药品入库和出库应当执行检查制度。</w:t>
            </w:r>
          </w:p>
        </w:tc>
        <w:tc>
          <w:tcPr>
            <w:tcW w:w="5527" w:type="dxa"/>
            <w:vAlign w:val="center"/>
          </w:tcPr>
          <w:p w14:paraId="0959C758">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《中华人民共和国药品管理法》第五十九条。</w:t>
            </w:r>
          </w:p>
        </w:tc>
      </w:tr>
      <w:tr w14:paraId="0DF42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52" w:type="dxa"/>
            <w:vMerge w:val="continue"/>
            <w:vAlign w:val="center"/>
          </w:tcPr>
          <w:p w14:paraId="2E7AC24E">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63B87152">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11</w:t>
            </w:r>
          </w:p>
        </w:tc>
        <w:tc>
          <w:tcPr>
            <w:tcW w:w="8511" w:type="dxa"/>
            <w:vAlign w:val="center"/>
          </w:tcPr>
          <w:p w14:paraId="55C5D61E">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药品经营企业应当遵守国家药品监督管理局制定的统一药品追溯标准和规范，建立并实施药品追溯制度，按照规定提供追溯信息，保证药品可追溯。</w:t>
            </w:r>
          </w:p>
        </w:tc>
        <w:tc>
          <w:tcPr>
            <w:tcW w:w="5527" w:type="dxa"/>
            <w:vAlign w:val="center"/>
          </w:tcPr>
          <w:p w14:paraId="41CCEF97">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《药品经营和使用质量监督管理办法》第五条。</w:t>
            </w:r>
          </w:p>
        </w:tc>
      </w:tr>
      <w:tr w14:paraId="7FD7A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752" w:type="dxa"/>
            <w:vMerge w:val="continue"/>
            <w:vAlign w:val="center"/>
          </w:tcPr>
          <w:p w14:paraId="2ED91F8B">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5EA529BA">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12</w:t>
            </w:r>
          </w:p>
        </w:tc>
        <w:tc>
          <w:tcPr>
            <w:tcW w:w="8511" w:type="dxa"/>
            <w:vAlign w:val="center"/>
          </w:tcPr>
          <w:p w14:paraId="66D6527A">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企业应当按照培训管理制度制定年度培训计划并开展培训，使相关人员能正确理解并履行职责。培训工作应当做好记录并建立档案。</w:t>
            </w:r>
          </w:p>
        </w:tc>
        <w:tc>
          <w:tcPr>
            <w:tcW w:w="5527" w:type="dxa"/>
            <w:vAlign w:val="center"/>
          </w:tcPr>
          <w:p w14:paraId="4C9F8F55">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《药品经营质量管理规范》第一百二十八条。</w:t>
            </w:r>
          </w:p>
        </w:tc>
      </w:tr>
      <w:tr w14:paraId="4A895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52" w:type="dxa"/>
            <w:vMerge w:val="continue"/>
            <w:vAlign w:val="center"/>
          </w:tcPr>
          <w:p w14:paraId="36A1CBDC">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65389656">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13</w:t>
            </w:r>
          </w:p>
        </w:tc>
        <w:tc>
          <w:tcPr>
            <w:tcW w:w="8511" w:type="dxa"/>
            <w:vAlign w:val="center"/>
          </w:tcPr>
          <w:p w14:paraId="1C3EAA93">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药品零售企业应当加强员工个人卫生管理，对员工每年进行健康体检。</w:t>
            </w:r>
          </w:p>
        </w:tc>
        <w:tc>
          <w:tcPr>
            <w:tcW w:w="5527" w:type="dxa"/>
            <w:vAlign w:val="center"/>
          </w:tcPr>
          <w:p w14:paraId="774ABA76">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《药品经营质量管理规范附录6：药品零售配送质量管理》第五条。</w:t>
            </w:r>
          </w:p>
        </w:tc>
      </w:tr>
      <w:tr w14:paraId="6FE00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752" w:type="dxa"/>
            <w:vMerge w:val="restart"/>
            <w:vAlign w:val="center"/>
          </w:tcPr>
          <w:p w14:paraId="03CB9255">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药品经营管理</w:t>
            </w:r>
          </w:p>
        </w:tc>
        <w:tc>
          <w:tcPr>
            <w:tcW w:w="770" w:type="dxa"/>
            <w:vAlign w:val="center"/>
          </w:tcPr>
          <w:p w14:paraId="5824049F">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14</w:t>
            </w:r>
          </w:p>
        </w:tc>
        <w:tc>
          <w:tcPr>
            <w:tcW w:w="8511" w:type="dxa"/>
            <w:vAlign w:val="center"/>
          </w:tcPr>
          <w:p w14:paraId="4F4D8FC0">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药品经营企业应当从药品上市许可持有人或者具有药品生产、经营资格的企业购进药品。</w:t>
            </w:r>
          </w:p>
        </w:tc>
        <w:tc>
          <w:tcPr>
            <w:tcW w:w="5527" w:type="dxa"/>
            <w:vAlign w:val="center"/>
          </w:tcPr>
          <w:p w14:paraId="76ADF0ED">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《中华人民共和国药品管理法》第五十五条。</w:t>
            </w:r>
          </w:p>
        </w:tc>
      </w:tr>
      <w:tr w14:paraId="4FF5D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752" w:type="dxa"/>
            <w:vMerge w:val="continue"/>
            <w:vAlign w:val="top"/>
          </w:tcPr>
          <w:p w14:paraId="3C8A72A7">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11EEF049">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15</w:t>
            </w:r>
          </w:p>
        </w:tc>
        <w:tc>
          <w:tcPr>
            <w:tcW w:w="8511" w:type="dxa"/>
            <w:vAlign w:val="center"/>
          </w:tcPr>
          <w:p w14:paraId="7831EAB5">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药品经营企业不得经营疫苗、医疗机构制剂、中药配方颗粒等国家禁止药品经营企业经营的药品。</w:t>
            </w:r>
          </w:p>
        </w:tc>
        <w:tc>
          <w:tcPr>
            <w:tcW w:w="5527" w:type="dxa"/>
            <w:vAlign w:val="center"/>
          </w:tcPr>
          <w:p w14:paraId="7A27001C">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《药品经营和使用质量监督管理办法》第三十六条第一款。</w:t>
            </w:r>
          </w:p>
        </w:tc>
      </w:tr>
      <w:tr w14:paraId="3A049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jc w:val="center"/>
        </w:trPr>
        <w:tc>
          <w:tcPr>
            <w:tcW w:w="752" w:type="dxa"/>
            <w:vMerge w:val="continue"/>
            <w:vAlign w:val="top"/>
          </w:tcPr>
          <w:p w14:paraId="019ABFA9">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13378CFF">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16</w:t>
            </w:r>
          </w:p>
        </w:tc>
        <w:tc>
          <w:tcPr>
            <w:tcW w:w="8511" w:type="dxa"/>
            <w:vAlign w:val="center"/>
          </w:tcPr>
          <w:p w14:paraId="4842B61C">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药品零售企业不得销售麻醉药品、第一类精神药品、放射性药品、药品类易制毒化学品、蛋白同化制剂、肽类激素（胰岛素除外）、终止妊娠药品等国家禁止零售的药品。</w:t>
            </w:r>
          </w:p>
        </w:tc>
        <w:tc>
          <w:tcPr>
            <w:tcW w:w="5527" w:type="dxa"/>
            <w:vAlign w:val="center"/>
          </w:tcPr>
          <w:p w14:paraId="39584055">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《药品经营和使用质量监督管理办法》第三十六条第二款。</w:t>
            </w:r>
          </w:p>
        </w:tc>
      </w:tr>
      <w:tr w14:paraId="4EA34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752" w:type="dxa"/>
            <w:vMerge w:val="continue"/>
            <w:vAlign w:val="center"/>
          </w:tcPr>
          <w:p w14:paraId="1BCF8EA0">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6DD771C6">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17</w:t>
            </w:r>
          </w:p>
        </w:tc>
        <w:tc>
          <w:tcPr>
            <w:tcW w:w="8511" w:type="dxa"/>
            <w:vAlign w:val="center"/>
          </w:tcPr>
          <w:p w14:paraId="11430BA6">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药品经营企业购进药品，应当建立并执行进货检查验收制度，验明药品合格证明和其他标识；不符合规定要求的，不得购进和销售。</w:t>
            </w:r>
          </w:p>
          <w:p w14:paraId="48BB3CE8">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药品经营企业采购药品时，应当索取、查验、留存《药品经营和使用质量监督管理办法》第三十八条规定的有关材料、凭证。</w:t>
            </w:r>
          </w:p>
        </w:tc>
        <w:tc>
          <w:tcPr>
            <w:tcW w:w="5527" w:type="dxa"/>
            <w:vAlign w:val="center"/>
          </w:tcPr>
          <w:p w14:paraId="00843C2C">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《中华人民共和国药品管理法》第五十六条；《药品经营和使用质量监督管理办法》第三十九条。</w:t>
            </w:r>
          </w:p>
        </w:tc>
      </w:tr>
      <w:tr w14:paraId="0C594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jc w:val="center"/>
        </w:trPr>
        <w:tc>
          <w:tcPr>
            <w:tcW w:w="752" w:type="dxa"/>
            <w:vMerge w:val="restart"/>
            <w:vAlign w:val="center"/>
          </w:tcPr>
          <w:p w14:paraId="567FD06C">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药品经营管理</w:t>
            </w:r>
          </w:p>
        </w:tc>
        <w:tc>
          <w:tcPr>
            <w:tcW w:w="770" w:type="dxa"/>
            <w:vAlign w:val="center"/>
          </w:tcPr>
          <w:p w14:paraId="7C939BED">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18</w:t>
            </w:r>
          </w:p>
        </w:tc>
        <w:tc>
          <w:tcPr>
            <w:tcW w:w="8511" w:type="dxa"/>
            <w:vAlign w:val="center"/>
          </w:tcPr>
          <w:p w14:paraId="5EC116E6">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tc>
        <w:tc>
          <w:tcPr>
            <w:tcW w:w="5527" w:type="dxa"/>
            <w:vAlign w:val="center"/>
          </w:tcPr>
          <w:p w14:paraId="3D5C2435">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《中华人民共和国药品管理法》第五十七条。</w:t>
            </w:r>
          </w:p>
        </w:tc>
      </w:tr>
      <w:tr w14:paraId="1E5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752" w:type="dxa"/>
            <w:vMerge w:val="continue"/>
            <w:vAlign w:val="top"/>
          </w:tcPr>
          <w:p w14:paraId="4A81613C">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4C567EAA">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19</w:t>
            </w:r>
          </w:p>
        </w:tc>
        <w:tc>
          <w:tcPr>
            <w:tcW w:w="8511" w:type="dxa"/>
            <w:vAlign w:val="center"/>
          </w:tcPr>
          <w:p w14:paraId="189931CD">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shd w:val="clear" w:color="auto" w:fill="FFFFFF"/>
              </w:rPr>
            </w:pPr>
            <w:r>
              <w:rPr>
                <w:rFonts w:hint="eastAsia" w:ascii="方正仿宋_GBK" w:hAnsi="方正仿宋_GBK" w:eastAsia="方正仿宋_GBK" w:cs="方正仿宋_GBK"/>
                <w:kern w:val="0"/>
                <w:sz w:val="18"/>
                <w:szCs w:val="18"/>
              </w:rPr>
              <w:t>药品经营企业购销活动中的有关资质材料和购销凭证、记录保存不得少于五年，且不少于药品有效期满后一年。</w:t>
            </w:r>
          </w:p>
        </w:tc>
        <w:tc>
          <w:tcPr>
            <w:tcW w:w="5527" w:type="dxa"/>
            <w:vAlign w:val="center"/>
          </w:tcPr>
          <w:p w14:paraId="37C0E8D1">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《药品经营和使用质量监督管理办法》第四十条。</w:t>
            </w:r>
          </w:p>
        </w:tc>
      </w:tr>
      <w:tr w14:paraId="6E2A4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752" w:type="dxa"/>
            <w:vMerge w:val="continue"/>
            <w:vAlign w:val="top"/>
          </w:tcPr>
          <w:p w14:paraId="1FF9990A">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3063843E">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20</w:t>
            </w:r>
          </w:p>
        </w:tc>
        <w:tc>
          <w:tcPr>
            <w:tcW w:w="8511" w:type="dxa"/>
            <w:vAlign w:val="center"/>
          </w:tcPr>
          <w:p w14:paraId="6AAD9B7D">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p>
          <w:p w14:paraId="107AEB15">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shd w:val="clear" w:color="auto" w:fill="FFFFFF"/>
              </w:rPr>
            </w:pPr>
            <w:r>
              <w:rPr>
                <w:rFonts w:hint="eastAsia" w:ascii="方正仿宋_GBK" w:hAnsi="方正仿宋_GBK" w:eastAsia="方正仿宋_GBK" w:cs="方正仿宋_GBK"/>
                <w:kern w:val="0"/>
                <w:sz w:val="18"/>
                <w:szCs w:val="18"/>
              </w:rPr>
              <w:t>药品经营企业销售中药材，应当标明产地。</w:t>
            </w:r>
          </w:p>
        </w:tc>
        <w:tc>
          <w:tcPr>
            <w:tcW w:w="5527" w:type="dxa"/>
            <w:vAlign w:val="center"/>
          </w:tcPr>
          <w:p w14:paraId="01B480DD">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《中华人民共和国药品管理法》第五十八条第一款、第二款。</w:t>
            </w:r>
          </w:p>
        </w:tc>
      </w:tr>
      <w:tr w14:paraId="054AE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jc w:val="center"/>
        </w:trPr>
        <w:tc>
          <w:tcPr>
            <w:tcW w:w="752" w:type="dxa"/>
            <w:vMerge w:val="continue"/>
            <w:vAlign w:val="center"/>
          </w:tcPr>
          <w:p w14:paraId="0269E292">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16F57FAE">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21</w:t>
            </w:r>
          </w:p>
        </w:tc>
        <w:tc>
          <w:tcPr>
            <w:tcW w:w="8511" w:type="dxa"/>
            <w:vAlign w:val="center"/>
          </w:tcPr>
          <w:p w14:paraId="37932C96">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药品零售企业应当遵守国家处方药与非处方药分类管理制度，按规定凭处方销售处方药，处方保留不少于五年。</w:t>
            </w:r>
          </w:p>
          <w:p w14:paraId="45E0EE5C">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药品零售企业不得以买药品赠药品或者买商品赠药品等方式向公众赠送处方药、甲类非处方药。处方药不得开架销售。</w:t>
            </w:r>
          </w:p>
          <w:p w14:paraId="487943EA">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药品零售企业销售药品时，应当开具标明药品通用名称、药品上市许可持有人（中药饮片标明生产企业、产地）、产品批号、剂型、规格、销售数量、销售价格、销售日期、销售企业名称等内容的凭证。</w:t>
            </w:r>
          </w:p>
          <w:p w14:paraId="0A0CE53B">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药品零售企业配备依法经过资格认定的药师或者其他药学技术人员，负责药品质量管理、处方审核和调配、合理用药指导以及不良反应信息收集与报告等工作。</w:t>
            </w:r>
          </w:p>
          <w:p w14:paraId="1976820B">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药品零售企业营业时间内，依法经过资格认定的药师或者其他药学技术人员不在岗时，应当挂牌告知。未经依法经过资格认定的药师或者其他药学技术人员审核，不得销售处方药。</w:t>
            </w:r>
          </w:p>
        </w:tc>
        <w:tc>
          <w:tcPr>
            <w:tcW w:w="5527" w:type="dxa"/>
            <w:vAlign w:val="center"/>
          </w:tcPr>
          <w:p w14:paraId="01348123">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《药品经营和使用质量监督管理办法》第四十二条。</w:t>
            </w:r>
          </w:p>
        </w:tc>
      </w:tr>
      <w:tr w14:paraId="66B3C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52" w:type="dxa"/>
            <w:vMerge w:val="restart"/>
            <w:vAlign w:val="center"/>
          </w:tcPr>
          <w:p w14:paraId="61727D89">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药品经营管理</w:t>
            </w:r>
          </w:p>
        </w:tc>
        <w:tc>
          <w:tcPr>
            <w:tcW w:w="770" w:type="dxa"/>
            <w:vAlign w:val="center"/>
          </w:tcPr>
          <w:p w14:paraId="45A8526D">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22</w:t>
            </w:r>
          </w:p>
        </w:tc>
        <w:tc>
          <w:tcPr>
            <w:tcW w:w="8511" w:type="dxa"/>
            <w:vAlign w:val="center"/>
          </w:tcPr>
          <w:p w14:paraId="29A849A3">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pacing w:val="-6"/>
                <w:kern w:val="0"/>
                <w:sz w:val="18"/>
                <w:szCs w:val="18"/>
              </w:rPr>
            </w:pPr>
            <w:r>
              <w:rPr>
                <w:rFonts w:hint="eastAsia" w:ascii="方正仿宋_GBK" w:hAnsi="方正仿宋_GBK" w:eastAsia="方正仿宋_GBK" w:cs="方正仿宋_GBK"/>
                <w:spacing w:val="-6"/>
                <w:kern w:val="0"/>
                <w:sz w:val="18"/>
                <w:szCs w:val="18"/>
              </w:rPr>
              <w:t>药品经营企业委托储存、运输药品的，应当对受托方质量保证能力和风险管理能力进行评估，与其签订委托协议，约定药品质量责任、操作规程等内容，对受托方进行监督，并开展定期检查。</w:t>
            </w:r>
          </w:p>
        </w:tc>
        <w:tc>
          <w:tcPr>
            <w:tcW w:w="5527" w:type="dxa"/>
            <w:vAlign w:val="center"/>
          </w:tcPr>
          <w:p w14:paraId="755A1B29">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《药品经营和使用质量监督管理办法》第四十五条第一款。</w:t>
            </w:r>
          </w:p>
        </w:tc>
      </w:tr>
      <w:tr w14:paraId="235F4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jc w:val="center"/>
        </w:trPr>
        <w:tc>
          <w:tcPr>
            <w:tcW w:w="752" w:type="dxa"/>
            <w:vMerge w:val="continue"/>
            <w:vAlign w:val="center"/>
          </w:tcPr>
          <w:p w14:paraId="69D737B3">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5342646B">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23</w:t>
            </w:r>
          </w:p>
        </w:tc>
        <w:tc>
          <w:tcPr>
            <w:tcW w:w="8511" w:type="dxa"/>
            <w:vAlign w:val="center"/>
          </w:tcPr>
          <w:p w14:paraId="6CCEEDF1">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药品因破损而导致液体、气体、粉末泄漏时，应当迅速采取安全处理措施，防止对储存环境和其他药品造成污染。</w:t>
            </w:r>
          </w:p>
        </w:tc>
        <w:tc>
          <w:tcPr>
            <w:tcW w:w="5527" w:type="dxa"/>
            <w:vAlign w:val="center"/>
          </w:tcPr>
          <w:p w14:paraId="0ACCE948">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《药品经营质量管理规范》第八十六条。</w:t>
            </w:r>
          </w:p>
        </w:tc>
      </w:tr>
      <w:tr w14:paraId="07BD2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jc w:val="center"/>
        </w:trPr>
        <w:tc>
          <w:tcPr>
            <w:tcW w:w="752" w:type="dxa"/>
            <w:vMerge w:val="continue"/>
            <w:vAlign w:val="top"/>
          </w:tcPr>
          <w:p w14:paraId="45F1FD29">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78974A6B">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24</w:t>
            </w:r>
          </w:p>
        </w:tc>
        <w:tc>
          <w:tcPr>
            <w:tcW w:w="8511" w:type="dxa"/>
            <w:vAlign w:val="center"/>
          </w:tcPr>
          <w:p w14:paraId="4802C4FA">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企业销售药品，应当如实开具发票，做到票、账、货、款一致。</w:t>
            </w:r>
          </w:p>
          <w:p w14:paraId="56EAB439">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企业应当做好药品销售记录。销售记录应当包括药品的通用名称、规格、剂型、批号、有效期、生产厂商、购货单位、销售数量、单价、金额、销售日期等内容。按照本规范第六十九条规定进行药品直调的，应当建立专门的销售记录。</w:t>
            </w:r>
          </w:p>
        </w:tc>
        <w:tc>
          <w:tcPr>
            <w:tcW w:w="5527" w:type="dxa"/>
            <w:vAlign w:val="center"/>
          </w:tcPr>
          <w:p w14:paraId="0AABF9F4">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《药品经营质量管理规范》第九十一条、第九十二条。</w:t>
            </w:r>
          </w:p>
        </w:tc>
      </w:tr>
      <w:tr w14:paraId="37430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752" w:type="dxa"/>
            <w:vMerge w:val="continue"/>
            <w:vAlign w:val="top"/>
          </w:tcPr>
          <w:p w14:paraId="718FDFB7">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01497F9C">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25</w:t>
            </w:r>
          </w:p>
        </w:tc>
        <w:tc>
          <w:tcPr>
            <w:tcW w:w="8511" w:type="dxa"/>
            <w:vAlign w:val="center"/>
          </w:tcPr>
          <w:p w14:paraId="1AC38EF8">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企业应当根据药品的温度控制要求，在运输过程中采取必要的保温或者冷藏、冷冻措施。</w:t>
            </w:r>
          </w:p>
          <w:p w14:paraId="6EB90F4A">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运输过程中，药品不得直接接触冰袋、</w:t>
            </w:r>
            <w:r>
              <w:rPr>
                <w:rFonts w:hint="eastAsia" w:ascii="方正仿宋_GBK" w:hAnsi="方正仿宋_GBK" w:eastAsia="方正仿宋_GBK" w:cs="方正仿宋_GBK"/>
                <w:sz w:val="18"/>
                <w:szCs w:val="18"/>
              </w:rPr>
              <w:fldChar w:fldCharType="begin"/>
            </w:r>
            <w:r>
              <w:rPr>
                <w:rFonts w:hint="eastAsia" w:ascii="方正仿宋_GBK" w:hAnsi="方正仿宋_GBK" w:eastAsia="方正仿宋_GBK" w:cs="方正仿宋_GBK"/>
                <w:sz w:val="18"/>
                <w:szCs w:val="18"/>
              </w:rPr>
              <w:instrText xml:space="preserve"> HYPERLINK "https://baike.baidu.com/item/%E5%86%B0%E6%8E%92/1186171?fromModule=lemma_inlink" </w:instrText>
            </w:r>
            <w:r>
              <w:rPr>
                <w:rFonts w:hint="eastAsia" w:ascii="方正仿宋_GBK" w:hAnsi="方正仿宋_GBK" w:eastAsia="方正仿宋_GBK" w:cs="方正仿宋_GBK"/>
                <w:sz w:val="18"/>
                <w:szCs w:val="18"/>
              </w:rPr>
              <w:fldChar w:fldCharType="separate"/>
            </w:r>
            <w:r>
              <w:rPr>
                <w:rFonts w:hint="eastAsia" w:ascii="方正仿宋_GBK" w:hAnsi="方正仿宋_GBK" w:eastAsia="方正仿宋_GBK" w:cs="方正仿宋_GBK"/>
                <w:kern w:val="0"/>
                <w:sz w:val="18"/>
                <w:szCs w:val="18"/>
              </w:rPr>
              <w:t>冰排</w:t>
            </w:r>
            <w:r>
              <w:rPr>
                <w:rFonts w:hint="eastAsia" w:ascii="方正仿宋_GBK" w:hAnsi="方正仿宋_GBK" w:eastAsia="方正仿宋_GBK" w:cs="方正仿宋_GBK"/>
                <w:kern w:val="0"/>
                <w:sz w:val="18"/>
                <w:szCs w:val="18"/>
              </w:rPr>
              <w:fldChar w:fldCharType="end"/>
            </w:r>
            <w:r>
              <w:rPr>
                <w:rFonts w:hint="eastAsia" w:ascii="方正仿宋_GBK" w:hAnsi="方正仿宋_GBK" w:eastAsia="方正仿宋_GBK" w:cs="方正仿宋_GBK"/>
                <w:kern w:val="0"/>
                <w:sz w:val="18"/>
                <w:szCs w:val="18"/>
              </w:rPr>
              <w:t>等</w:t>
            </w:r>
            <w:r>
              <w:rPr>
                <w:rFonts w:hint="eastAsia" w:ascii="方正仿宋_GBK" w:hAnsi="方正仿宋_GBK" w:eastAsia="方正仿宋_GBK" w:cs="方正仿宋_GBK"/>
                <w:sz w:val="18"/>
                <w:szCs w:val="18"/>
              </w:rPr>
              <w:fldChar w:fldCharType="begin"/>
            </w:r>
            <w:r>
              <w:rPr>
                <w:rFonts w:hint="eastAsia" w:ascii="方正仿宋_GBK" w:hAnsi="方正仿宋_GBK" w:eastAsia="方正仿宋_GBK" w:cs="方正仿宋_GBK"/>
                <w:sz w:val="18"/>
                <w:szCs w:val="18"/>
              </w:rPr>
              <w:instrText xml:space="preserve"> HYPERLINK "https://baike.baidu.com/item/%E8%93%84%E5%86%B7%E5%89%82/11050957?fromModule=lemma_inlink" </w:instrText>
            </w:r>
            <w:r>
              <w:rPr>
                <w:rFonts w:hint="eastAsia" w:ascii="方正仿宋_GBK" w:hAnsi="方正仿宋_GBK" w:eastAsia="方正仿宋_GBK" w:cs="方正仿宋_GBK"/>
                <w:sz w:val="18"/>
                <w:szCs w:val="18"/>
              </w:rPr>
              <w:fldChar w:fldCharType="separate"/>
            </w:r>
            <w:r>
              <w:rPr>
                <w:rFonts w:hint="eastAsia" w:ascii="方正仿宋_GBK" w:hAnsi="方正仿宋_GBK" w:eastAsia="方正仿宋_GBK" w:cs="方正仿宋_GBK"/>
                <w:kern w:val="0"/>
                <w:sz w:val="18"/>
                <w:szCs w:val="18"/>
              </w:rPr>
              <w:t>蓄冷剂</w:t>
            </w:r>
            <w:r>
              <w:rPr>
                <w:rFonts w:hint="eastAsia" w:ascii="方正仿宋_GBK" w:hAnsi="方正仿宋_GBK" w:eastAsia="方正仿宋_GBK" w:cs="方正仿宋_GBK"/>
                <w:kern w:val="0"/>
                <w:sz w:val="18"/>
                <w:szCs w:val="18"/>
              </w:rPr>
              <w:fldChar w:fldCharType="end"/>
            </w:r>
            <w:r>
              <w:rPr>
                <w:rFonts w:hint="eastAsia" w:ascii="方正仿宋_GBK" w:hAnsi="方正仿宋_GBK" w:eastAsia="方正仿宋_GBK" w:cs="方正仿宋_GBK"/>
                <w:kern w:val="0"/>
                <w:sz w:val="18"/>
                <w:szCs w:val="18"/>
              </w:rPr>
              <w:t>，防止对药品质量造成影响。</w:t>
            </w:r>
          </w:p>
        </w:tc>
        <w:tc>
          <w:tcPr>
            <w:tcW w:w="5527" w:type="dxa"/>
            <w:vAlign w:val="center"/>
          </w:tcPr>
          <w:p w14:paraId="2B6F6F83">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《药品经营质量管理规范》第一百零四条。</w:t>
            </w:r>
          </w:p>
        </w:tc>
      </w:tr>
      <w:tr w14:paraId="0CBFE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52" w:type="dxa"/>
            <w:vMerge w:val="continue"/>
            <w:vAlign w:val="top"/>
          </w:tcPr>
          <w:p w14:paraId="6EA71E47">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70636AB1">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26</w:t>
            </w:r>
          </w:p>
        </w:tc>
        <w:tc>
          <w:tcPr>
            <w:tcW w:w="8511" w:type="dxa"/>
            <w:vAlign w:val="center"/>
          </w:tcPr>
          <w:p w14:paraId="071E6121">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企业发现已售出药品有严重质量问题，应当立即通知购货单位停售、追回并做好记录，同时向食品药品监督管理部门报告。</w:t>
            </w:r>
          </w:p>
        </w:tc>
        <w:tc>
          <w:tcPr>
            <w:tcW w:w="5527" w:type="dxa"/>
            <w:vAlign w:val="center"/>
          </w:tcPr>
          <w:p w14:paraId="3E187658">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《药品经营质量管理规范》第一百一十七条。</w:t>
            </w:r>
          </w:p>
        </w:tc>
      </w:tr>
      <w:tr w14:paraId="7A4B5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752" w:type="dxa"/>
            <w:vMerge w:val="continue"/>
            <w:vAlign w:val="top"/>
          </w:tcPr>
          <w:p w14:paraId="26165D60">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5C44A5B4">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27</w:t>
            </w:r>
          </w:p>
        </w:tc>
        <w:tc>
          <w:tcPr>
            <w:tcW w:w="8511" w:type="dxa"/>
            <w:vAlign w:val="center"/>
          </w:tcPr>
          <w:p w14:paraId="2DF8AA4A">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药品经营企业不得销售假药、劣药。</w:t>
            </w:r>
          </w:p>
        </w:tc>
        <w:tc>
          <w:tcPr>
            <w:tcW w:w="5527" w:type="dxa"/>
            <w:vAlign w:val="center"/>
          </w:tcPr>
          <w:p w14:paraId="7E1CAA69">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《中华人民共和国药品管理法》第九十八条。</w:t>
            </w:r>
          </w:p>
        </w:tc>
      </w:tr>
      <w:tr w14:paraId="4AC17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752" w:type="dxa"/>
            <w:vMerge w:val="restart"/>
            <w:vAlign w:val="center"/>
          </w:tcPr>
          <w:p w14:paraId="7E936DC1">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药品广告</w:t>
            </w:r>
          </w:p>
        </w:tc>
        <w:tc>
          <w:tcPr>
            <w:tcW w:w="770" w:type="dxa"/>
            <w:vAlign w:val="center"/>
          </w:tcPr>
          <w:p w14:paraId="5C1CD816">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28</w:t>
            </w:r>
          </w:p>
        </w:tc>
        <w:tc>
          <w:tcPr>
            <w:tcW w:w="8511" w:type="dxa"/>
            <w:vAlign w:val="center"/>
          </w:tcPr>
          <w:p w14:paraId="0974A100">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药品广告应当经广告主所在地省、自治区、直辖市人民政府确定的广告审查机关批准；未经批准的，不得发布。</w:t>
            </w:r>
          </w:p>
        </w:tc>
        <w:tc>
          <w:tcPr>
            <w:tcW w:w="5527" w:type="dxa"/>
            <w:vAlign w:val="center"/>
          </w:tcPr>
          <w:p w14:paraId="27D4C76B">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《中华人民共和国药品管理法》第八十九条。</w:t>
            </w:r>
          </w:p>
        </w:tc>
      </w:tr>
      <w:tr w14:paraId="02234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jc w:val="center"/>
        </w:trPr>
        <w:tc>
          <w:tcPr>
            <w:tcW w:w="752" w:type="dxa"/>
            <w:vMerge w:val="continue"/>
            <w:vAlign w:val="top"/>
          </w:tcPr>
          <w:p w14:paraId="6B30510E">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3E4CD377">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29</w:t>
            </w:r>
          </w:p>
        </w:tc>
        <w:tc>
          <w:tcPr>
            <w:tcW w:w="8511" w:type="dxa"/>
            <w:vAlign w:val="center"/>
          </w:tcPr>
          <w:p w14:paraId="18C7D89C">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广告的内容应当真实、合法，以国务院药品监督管理部门核准的药品说明书为准，不得含有虚假的内容。药品广告不得含有表示功效、安全性的断言或者保证；不得利用国家机关、科研单位、学术机构、行业协会或者专家、学者、医师、药师、患者等的名义或者形象作推荐、证明。</w:t>
            </w:r>
          </w:p>
        </w:tc>
        <w:tc>
          <w:tcPr>
            <w:tcW w:w="5527" w:type="dxa"/>
            <w:vAlign w:val="center"/>
          </w:tcPr>
          <w:p w14:paraId="04960D57">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《中华人民共和国药品管理法》第九十条第一款、第二款。</w:t>
            </w:r>
          </w:p>
        </w:tc>
      </w:tr>
      <w:tr w14:paraId="7E845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52" w:type="dxa"/>
            <w:vMerge w:val="restart"/>
            <w:vAlign w:val="center"/>
          </w:tcPr>
          <w:p w14:paraId="1A93D2FF">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药品网络销售管理</w:t>
            </w:r>
          </w:p>
        </w:tc>
        <w:tc>
          <w:tcPr>
            <w:tcW w:w="770" w:type="dxa"/>
            <w:vAlign w:val="center"/>
          </w:tcPr>
          <w:p w14:paraId="4A4AFCE0">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30</w:t>
            </w:r>
          </w:p>
        </w:tc>
        <w:tc>
          <w:tcPr>
            <w:tcW w:w="8511" w:type="dxa"/>
            <w:vAlign w:val="center"/>
          </w:tcPr>
          <w:p w14:paraId="54F9472B">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药品经营企业通过网络销售药品，应当遵守《中华人民共和国药品管理法》药品经营的有关规定。</w:t>
            </w:r>
          </w:p>
          <w:p w14:paraId="41C514AC">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疫苗、血液制品、麻醉药品、精神药品、医疗用毒性药品、放射性药品、药品类易制毒化学品等国家实行特殊管理的药品不得在网络上销售。</w:t>
            </w:r>
          </w:p>
        </w:tc>
        <w:tc>
          <w:tcPr>
            <w:tcW w:w="5527" w:type="dxa"/>
            <w:vAlign w:val="center"/>
          </w:tcPr>
          <w:p w14:paraId="1649B03F">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《中华人民共和国药品管理法》第六十一条。</w:t>
            </w:r>
          </w:p>
        </w:tc>
      </w:tr>
      <w:tr w14:paraId="3881E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7" w:hRule="atLeast"/>
          <w:jc w:val="center"/>
        </w:trPr>
        <w:tc>
          <w:tcPr>
            <w:tcW w:w="752" w:type="dxa"/>
            <w:vMerge w:val="continue"/>
            <w:vAlign w:val="top"/>
          </w:tcPr>
          <w:p w14:paraId="3B64E6E3">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1742248A">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31</w:t>
            </w:r>
          </w:p>
        </w:tc>
        <w:tc>
          <w:tcPr>
            <w:tcW w:w="8511" w:type="dxa"/>
            <w:vAlign w:val="center"/>
          </w:tcPr>
          <w:p w14:paraId="10B975A6">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药品网络销售企业应当按照经过批准的经营方式和经营范围经营。药品网络销售企业为药品上市许可持有人的，仅能销售其取得药品注册证书的药品。未取得药品零售资质的，不得向个人销售药品。</w:t>
            </w:r>
          </w:p>
          <w:p w14:paraId="03ECACB5">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疫苗、血液制品、麻醉药品、精神药品、医疗用毒性药品、放射性药品、药品类易制毒化学</w:t>
            </w:r>
            <w:r>
              <w:rPr>
                <w:rFonts w:hint="eastAsia" w:ascii="方正仿宋_GBK" w:hAnsi="方正仿宋_GBK" w:eastAsia="方正仿宋_GBK" w:cs="方正仿宋_GBK"/>
                <w:spacing w:val="-4"/>
                <w:kern w:val="0"/>
                <w:sz w:val="18"/>
                <w:szCs w:val="18"/>
              </w:rPr>
              <w:t>品等国家实行特殊管理的药品不得在网络上销售，具体目录由国家药品监督管理局组织制定。</w:t>
            </w:r>
          </w:p>
          <w:p w14:paraId="31269960">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药品网络零售企业不得违反规定以买药品赠药品、买商品赠药品等方式向个人赠送处方药、甲类非处方药。</w:t>
            </w:r>
          </w:p>
        </w:tc>
        <w:tc>
          <w:tcPr>
            <w:tcW w:w="5527" w:type="dxa"/>
            <w:vAlign w:val="center"/>
          </w:tcPr>
          <w:p w14:paraId="41CB490D">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《药品网络销售监督管理办法》第八条。</w:t>
            </w:r>
          </w:p>
        </w:tc>
      </w:tr>
      <w:tr w14:paraId="028C4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8" w:hRule="atLeast"/>
          <w:jc w:val="center"/>
        </w:trPr>
        <w:tc>
          <w:tcPr>
            <w:tcW w:w="752" w:type="dxa"/>
            <w:vMerge w:val="continue"/>
            <w:vAlign w:val="top"/>
          </w:tcPr>
          <w:p w14:paraId="1EEB068B">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3E0EE518">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32</w:t>
            </w:r>
          </w:p>
        </w:tc>
        <w:tc>
          <w:tcPr>
            <w:tcW w:w="8511" w:type="dxa"/>
            <w:vAlign w:val="center"/>
          </w:tcPr>
          <w:p w14:paraId="0C7EBB15">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药品网络零售企业应当与电子处方提供单位签订协议，并严格按照有关规定进行处方审核调配，对已经使用的电子处方进行标记，避免处方重复使用。</w:t>
            </w:r>
          </w:p>
          <w:p w14:paraId="1D902D1A">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pacing w:val="-4"/>
                <w:kern w:val="0"/>
                <w:sz w:val="18"/>
                <w:szCs w:val="18"/>
              </w:rPr>
            </w:pPr>
            <w:r>
              <w:rPr>
                <w:rFonts w:hint="eastAsia" w:ascii="方正仿宋_GBK" w:hAnsi="方正仿宋_GBK" w:eastAsia="方正仿宋_GBK" w:cs="方正仿宋_GBK"/>
                <w:spacing w:val="-4"/>
                <w:kern w:val="0"/>
                <w:sz w:val="18"/>
                <w:szCs w:val="18"/>
              </w:rPr>
              <w:t>药品网络零售企业接收的处方为纸质处方影印版本的，应当采取有效措施避免处方重复使用。</w:t>
            </w:r>
          </w:p>
        </w:tc>
        <w:tc>
          <w:tcPr>
            <w:tcW w:w="5527" w:type="dxa"/>
            <w:vAlign w:val="center"/>
          </w:tcPr>
          <w:p w14:paraId="7C270A6D">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《药品网络销售监督管理办法》第九条第二款、第四款。</w:t>
            </w:r>
          </w:p>
        </w:tc>
      </w:tr>
      <w:tr w14:paraId="30F03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8" w:hRule="atLeast"/>
          <w:jc w:val="center"/>
        </w:trPr>
        <w:tc>
          <w:tcPr>
            <w:tcW w:w="752" w:type="dxa"/>
            <w:vMerge w:val="continue"/>
            <w:vAlign w:val="top"/>
          </w:tcPr>
          <w:p w14:paraId="29FC048F">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60537497">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33</w:t>
            </w:r>
          </w:p>
        </w:tc>
        <w:tc>
          <w:tcPr>
            <w:tcW w:w="8511" w:type="dxa"/>
            <w:vAlign w:val="center"/>
          </w:tcPr>
          <w:p w14:paraId="1463DB85">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药品网络销售企业应当建立并实施药品质量安全管理、风险控制、药品追溯、储存配送管理、不良反应报告、投诉举报处理等制度。</w:t>
            </w:r>
          </w:p>
          <w:p w14:paraId="7FEF006B">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shd w:val="clear" w:color="auto" w:fill="FFFFFF"/>
              </w:rPr>
            </w:pPr>
            <w:r>
              <w:rPr>
                <w:rFonts w:hint="eastAsia" w:ascii="方正仿宋_GBK" w:hAnsi="方正仿宋_GBK" w:eastAsia="方正仿宋_GBK" w:cs="方正仿宋_GBK"/>
                <w:kern w:val="0"/>
                <w:sz w:val="18"/>
                <w:szCs w:val="18"/>
              </w:rPr>
              <w:t>药品网络零售企业还应当建立在线药学服务制度，由依法经过资格认定的药师或者其他药学技术人员开展处方审核调配、指导合理用药等工作。依法经过资格认定的药师或者其他药学技术人员数量应当与经营规模相适应。</w:t>
            </w:r>
          </w:p>
        </w:tc>
        <w:tc>
          <w:tcPr>
            <w:tcW w:w="5527" w:type="dxa"/>
            <w:vAlign w:val="center"/>
          </w:tcPr>
          <w:p w14:paraId="44D3C319">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《药品网络销售监督管理办法》第十条。</w:t>
            </w:r>
          </w:p>
        </w:tc>
      </w:tr>
      <w:tr w14:paraId="61769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752" w:type="dxa"/>
            <w:vMerge w:val="restart"/>
            <w:vAlign w:val="center"/>
          </w:tcPr>
          <w:p w14:paraId="00919736">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药品网络销售管理</w:t>
            </w:r>
          </w:p>
        </w:tc>
        <w:tc>
          <w:tcPr>
            <w:tcW w:w="770" w:type="dxa"/>
            <w:vAlign w:val="center"/>
          </w:tcPr>
          <w:p w14:paraId="3EB53F36">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34</w:t>
            </w:r>
          </w:p>
        </w:tc>
        <w:tc>
          <w:tcPr>
            <w:tcW w:w="8511" w:type="dxa"/>
            <w:vAlign w:val="center"/>
          </w:tcPr>
          <w:p w14:paraId="48D89584">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药品网络销售企业应当向药品监督管理部门报告企业名称、网站名称、应用程序名称、IP地址、域名、药品生产许可证或者药品经营许可证等信息。信息发生变化的，应当在10个工作日内报告。</w:t>
            </w:r>
          </w:p>
          <w:p w14:paraId="63AC613D">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shd w:val="clear" w:color="auto" w:fill="FFFFFF"/>
              </w:rPr>
            </w:pPr>
            <w:r>
              <w:rPr>
                <w:rFonts w:hint="eastAsia" w:ascii="方正仿宋_GBK" w:hAnsi="方正仿宋_GBK" w:eastAsia="方正仿宋_GBK" w:cs="方正仿宋_GBK"/>
                <w:spacing w:val="-6"/>
                <w:kern w:val="0"/>
                <w:sz w:val="18"/>
                <w:szCs w:val="18"/>
              </w:rPr>
              <w:t>药品网络销售企业为药品零售企业的，应当向所在地市县级药品监督管理部门报告。</w:t>
            </w:r>
          </w:p>
        </w:tc>
        <w:tc>
          <w:tcPr>
            <w:tcW w:w="5527" w:type="dxa"/>
            <w:vAlign w:val="center"/>
          </w:tcPr>
          <w:p w14:paraId="44B6C1BD">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《药品网络销售监督管理办法》第十一条。</w:t>
            </w:r>
          </w:p>
        </w:tc>
      </w:tr>
      <w:tr w14:paraId="6C8C9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752" w:type="dxa"/>
            <w:vMerge w:val="continue"/>
            <w:vAlign w:val="top"/>
          </w:tcPr>
          <w:p w14:paraId="46D374C3">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3F8771ED">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35</w:t>
            </w:r>
          </w:p>
        </w:tc>
        <w:tc>
          <w:tcPr>
            <w:tcW w:w="8511" w:type="dxa"/>
            <w:vAlign w:val="center"/>
          </w:tcPr>
          <w:p w14:paraId="0158D7DC">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shd w:val="clear" w:color="auto" w:fill="FFFFFF"/>
              </w:rPr>
            </w:pPr>
            <w:r>
              <w:rPr>
                <w:rFonts w:hint="eastAsia" w:ascii="方正仿宋_GBK" w:hAnsi="方正仿宋_GBK" w:eastAsia="方正仿宋_GBK" w:cs="方正仿宋_GBK"/>
                <w:kern w:val="0"/>
                <w:sz w:val="18"/>
                <w:szCs w:val="18"/>
              </w:rPr>
              <w:t>药品网络销售企业应当在网站首页或者经营活动的主页面显著位置，持续公示其药品生产或者经营许可证信息。药品网络零售企业还应当展示依法配备的药师或者其他药学技术人员的资格认定等信息。上述信息发生变化的，应当在10个工作日内予以更新。</w:t>
            </w:r>
          </w:p>
        </w:tc>
        <w:tc>
          <w:tcPr>
            <w:tcW w:w="5527" w:type="dxa"/>
            <w:vAlign w:val="center"/>
          </w:tcPr>
          <w:p w14:paraId="7DF49B42">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《药品网络销售监督管理办法》第十二条。</w:t>
            </w:r>
          </w:p>
        </w:tc>
      </w:tr>
      <w:tr w14:paraId="60F81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9" w:hRule="atLeast"/>
          <w:jc w:val="center"/>
        </w:trPr>
        <w:tc>
          <w:tcPr>
            <w:tcW w:w="752" w:type="dxa"/>
            <w:vMerge w:val="continue"/>
            <w:vAlign w:val="top"/>
          </w:tcPr>
          <w:p w14:paraId="6CA33933">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3DC52473">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36</w:t>
            </w:r>
          </w:p>
        </w:tc>
        <w:tc>
          <w:tcPr>
            <w:tcW w:w="8511" w:type="dxa"/>
            <w:vAlign w:val="center"/>
          </w:tcPr>
          <w:p w14:paraId="7990241F">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药品网络销售企业展示的药品相关信息应当真实、准确、合法。</w:t>
            </w:r>
          </w:p>
          <w:p w14:paraId="01749AD2">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从事处方药销售的药品网络零售企业，应当在每个药品展示页面下突出显示“处方药须凭处方在药师指导下购买和使用”等风险警示信息。处方药销售前，应当向消费者充分告知相关风险警示信息，并经消费者确认知情。</w:t>
            </w:r>
          </w:p>
          <w:p w14:paraId="56F4FFC3">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药品网络零售企业应当将处方药与非处方药区分展示，并在相关网页上显著标示处方药、非处方药。</w:t>
            </w:r>
          </w:p>
          <w:p w14:paraId="45115B50">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药品网络零售企业在处方药销售主页面、首页面不得直接公开展示处方药包装、标签等信息。通过处方审核前，不得展示说明书等信息，不得提供处方药购买的相关服务。</w:t>
            </w:r>
          </w:p>
        </w:tc>
        <w:tc>
          <w:tcPr>
            <w:tcW w:w="5527" w:type="dxa"/>
            <w:vAlign w:val="center"/>
          </w:tcPr>
          <w:p w14:paraId="45E2A2F5">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《药品网络销售监督管理办法》第十三条。</w:t>
            </w:r>
          </w:p>
        </w:tc>
      </w:tr>
      <w:tr w14:paraId="16E45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4" w:hRule="atLeast"/>
          <w:jc w:val="center"/>
        </w:trPr>
        <w:tc>
          <w:tcPr>
            <w:tcW w:w="752" w:type="dxa"/>
            <w:vMerge w:val="continue"/>
            <w:vAlign w:val="top"/>
          </w:tcPr>
          <w:p w14:paraId="32441306">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5ED065DB">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37</w:t>
            </w:r>
          </w:p>
        </w:tc>
        <w:tc>
          <w:tcPr>
            <w:tcW w:w="8511" w:type="dxa"/>
            <w:vAlign w:val="center"/>
          </w:tcPr>
          <w:p w14:paraId="4B4154E4">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网络零售企业应当对药品配送的质量与安全负责。配送药品，应当根据药品数量、运输距离、运输时间、温湿度要求等情况，选择适宜的运输工具和设施设备，配送的药品应当放置在独立空间并明显标识，确保符合要求、全程可追溯。</w:t>
            </w:r>
          </w:p>
          <w:p w14:paraId="131AE657">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药品网络零售企业委托配送的，应当对受托企业的质量管理体系进行审核，与受托企业签订质量协议，约定药品质量责任、操作规程等内容，并对受托方进行监督。</w:t>
            </w:r>
          </w:p>
        </w:tc>
        <w:tc>
          <w:tcPr>
            <w:tcW w:w="5527" w:type="dxa"/>
            <w:vAlign w:val="center"/>
          </w:tcPr>
          <w:p w14:paraId="5EC5A101">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《药品网络销售监督管理办法》第十四条。</w:t>
            </w:r>
          </w:p>
        </w:tc>
      </w:tr>
      <w:tr w14:paraId="4CD48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752" w:type="dxa"/>
            <w:vAlign w:val="center"/>
          </w:tcPr>
          <w:p w14:paraId="5B6C33A2">
            <w:pPr>
              <w:keepNext w:val="0"/>
              <w:keepLines w:val="0"/>
              <w:pageBreakBefore w:val="0"/>
              <w:widowControl/>
              <w:kinsoku/>
              <w:wordWrap/>
              <w:overflowPunct/>
              <w:topLinePunct w:val="0"/>
              <w:autoSpaceDE w:val="0"/>
              <w:autoSpaceDN/>
              <w:bidi w:val="0"/>
              <w:adjustRightInd/>
              <w:snapToGrid w:val="0"/>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药品网络销售管理</w:t>
            </w:r>
          </w:p>
        </w:tc>
        <w:tc>
          <w:tcPr>
            <w:tcW w:w="770" w:type="dxa"/>
            <w:vAlign w:val="center"/>
          </w:tcPr>
          <w:p w14:paraId="18EFD825">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38</w:t>
            </w:r>
          </w:p>
        </w:tc>
        <w:tc>
          <w:tcPr>
            <w:tcW w:w="8511" w:type="dxa"/>
            <w:vAlign w:val="center"/>
          </w:tcPr>
          <w:p w14:paraId="1174A41E">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向个人销售药品的，应当按照规定出具销售凭证。销售凭证可以以电子形式出具，药品最小销售单元的销售记录应当清晰留存，确保可追溯。</w:t>
            </w:r>
          </w:p>
          <w:p w14:paraId="1206F4C6">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药品网络销售企业应当完整保存供货企业资质文件、电子交易等记录。销售处方药的药品网络零售企业还应当保存处方、在线药学服务等记录。相关记录保存期限不少于5年，且不少于药品有效期满后1年。</w:t>
            </w:r>
          </w:p>
        </w:tc>
        <w:tc>
          <w:tcPr>
            <w:tcW w:w="5527" w:type="dxa"/>
            <w:vAlign w:val="center"/>
          </w:tcPr>
          <w:p w14:paraId="2BD22606">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《药品网络销售监督管理办法》第十五条。</w:t>
            </w:r>
          </w:p>
        </w:tc>
      </w:tr>
      <w:tr w14:paraId="592DE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atLeast"/>
          <w:jc w:val="center"/>
        </w:trPr>
        <w:tc>
          <w:tcPr>
            <w:tcW w:w="752" w:type="dxa"/>
            <w:vAlign w:val="center"/>
          </w:tcPr>
          <w:p w14:paraId="1B243101">
            <w:pPr>
              <w:keepNext w:val="0"/>
              <w:keepLines w:val="0"/>
              <w:pageBreakBefore w:val="0"/>
              <w:widowControl/>
              <w:kinsoku/>
              <w:wordWrap/>
              <w:overflowPunct/>
              <w:topLinePunct w:val="0"/>
              <w:autoSpaceDE w:val="0"/>
              <w:autoSpaceDN/>
              <w:bidi w:val="0"/>
              <w:adjustRightInd/>
              <w:snapToGrid w:val="0"/>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药品检验管理</w:t>
            </w:r>
          </w:p>
        </w:tc>
        <w:tc>
          <w:tcPr>
            <w:tcW w:w="770" w:type="dxa"/>
            <w:vAlign w:val="center"/>
          </w:tcPr>
          <w:p w14:paraId="3351745A">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39</w:t>
            </w:r>
          </w:p>
        </w:tc>
        <w:tc>
          <w:tcPr>
            <w:tcW w:w="8511" w:type="dxa"/>
            <w:vAlign w:val="center"/>
          </w:tcPr>
          <w:p w14:paraId="2B8CCCBC">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从事药品经营活动的单位和相关人员应当依照本办法接受药品监督管理部门组织实施的药品质量抽检检验，不得干扰、阻挠或拒绝抽查检验工作，不得转移、藏匿药品，不得拒绝提供证明材料或故意提供虚假材料。</w:t>
            </w:r>
          </w:p>
        </w:tc>
        <w:tc>
          <w:tcPr>
            <w:tcW w:w="5527" w:type="dxa"/>
            <w:vAlign w:val="center"/>
          </w:tcPr>
          <w:p w14:paraId="4B0089E7">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《药品质量抽查检验管理办法》第六条。</w:t>
            </w:r>
          </w:p>
        </w:tc>
      </w:tr>
      <w:tr w14:paraId="3036F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752" w:type="dxa"/>
            <w:vMerge w:val="restart"/>
            <w:vAlign w:val="center"/>
          </w:tcPr>
          <w:p w14:paraId="0434C44D">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药品不良反应</w:t>
            </w:r>
          </w:p>
        </w:tc>
        <w:tc>
          <w:tcPr>
            <w:tcW w:w="770" w:type="dxa"/>
            <w:vAlign w:val="center"/>
          </w:tcPr>
          <w:p w14:paraId="73E4AEC2">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40</w:t>
            </w:r>
          </w:p>
        </w:tc>
        <w:tc>
          <w:tcPr>
            <w:tcW w:w="8511" w:type="dxa"/>
            <w:vAlign w:val="center"/>
          </w:tcPr>
          <w:p w14:paraId="71AA1E70">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shd w:val="clear" w:color="auto" w:fill="FFFFFF"/>
              </w:rPr>
            </w:pPr>
            <w:r>
              <w:rPr>
                <w:rFonts w:hint="eastAsia" w:ascii="方正仿宋_GBK" w:hAnsi="方正仿宋_GBK" w:eastAsia="方正仿宋_GBK" w:cs="方正仿宋_GBK"/>
                <w:kern w:val="0"/>
                <w:sz w:val="18"/>
                <w:szCs w:val="18"/>
              </w:rPr>
              <w:t>药品经营企业应当经常考察本单位所经营的药品质量、疗效和不良反应。发现疑似不良反应的，应当及时向药品监督管理部门报告。</w:t>
            </w:r>
          </w:p>
        </w:tc>
        <w:tc>
          <w:tcPr>
            <w:tcW w:w="5527" w:type="dxa"/>
            <w:vAlign w:val="center"/>
          </w:tcPr>
          <w:p w14:paraId="6CE4782F">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《中华人民共和国药品管理法》第八十一条第一款。</w:t>
            </w:r>
          </w:p>
        </w:tc>
      </w:tr>
      <w:tr w14:paraId="40CA1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52" w:type="dxa"/>
            <w:vMerge w:val="continue"/>
            <w:vAlign w:val="top"/>
          </w:tcPr>
          <w:p w14:paraId="7BBCB3D1">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5DECEBE9">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41</w:t>
            </w:r>
          </w:p>
        </w:tc>
        <w:tc>
          <w:tcPr>
            <w:tcW w:w="8511" w:type="dxa"/>
            <w:vAlign w:val="center"/>
          </w:tcPr>
          <w:p w14:paraId="28CA906D">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药品经营企业应当建立药品不良反应报告和监测管理制度。药品经营企业应当设立或者指定机构并配备专（兼）职人员，承担本单位的药品不良反应报告和监测工作。</w:t>
            </w:r>
          </w:p>
          <w:p w14:paraId="3E99B777">
            <w:pPr>
              <w:pStyle w:val="38"/>
              <w:keepNext w:val="0"/>
              <w:keepLines w:val="0"/>
              <w:pageBreakBefore w:val="0"/>
              <w:widowControl/>
              <w:kinsoku/>
              <w:wordWrap/>
              <w:overflowPunct/>
              <w:topLinePunct w:val="0"/>
              <w:autoSpaceDN/>
              <w:bidi w:val="0"/>
              <w:adjustRightIn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shd w:val="clear" w:color="auto" w:fill="FFFFFF"/>
              </w:rPr>
            </w:pPr>
            <w:r>
              <w:rPr>
                <w:rFonts w:hint="eastAsia" w:ascii="方正仿宋_GBK" w:hAnsi="方正仿宋_GBK" w:eastAsia="方正仿宋_GBK" w:cs="方正仿宋_GBK"/>
                <w:bCs/>
                <w:sz w:val="18"/>
                <w:szCs w:val="18"/>
              </w:rPr>
              <w:t>应当配合药品监督管理部门、卫生行政部门和药品不良反应监测机构对药品不良反应或群体不良事件的调查，并提供调查所需的资料。</w:t>
            </w:r>
          </w:p>
        </w:tc>
        <w:tc>
          <w:tcPr>
            <w:tcW w:w="5527" w:type="dxa"/>
            <w:vAlign w:val="center"/>
          </w:tcPr>
          <w:p w14:paraId="4D72C741">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《药品不良反应报告和监测管理办法》第十三条、第十七条。</w:t>
            </w:r>
          </w:p>
        </w:tc>
      </w:tr>
      <w:tr w14:paraId="70FBB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752" w:type="dxa"/>
            <w:vMerge w:val="continue"/>
            <w:vAlign w:val="top"/>
          </w:tcPr>
          <w:p w14:paraId="42B09CB2">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6A283DBD">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42</w:t>
            </w:r>
          </w:p>
        </w:tc>
        <w:tc>
          <w:tcPr>
            <w:tcW w:w="8511" w:type="dxa"/>
            <w:vAlign w:val="center"/>
          </w:tcPr>
          <w:p w14:paraId="053DA7BB">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shd w:val="clear" w:color="auto" w:fill="FFFFFF"/>
              </w:rPr>
            </w:pPr>
            <w:r>
              <w:rPr>
                <w:rFonts w:hint="eastAsia" w:ascii="方正仿宋_GBK" w:hAnsi="方正仿宋_GBK" w:eastAsia="方正仿宋_GBK" w:cs="方正仿宋_GBK"/>
                <w:kern w:val="0"/>
                <w:sz w:val="18"/>
                <w:szCs w:val="18"/>
              </w:rPr>
              <w:t>药品经营企业应当建立并保存药品不良反应报告和监测档案。</w:t>
            </w:r>
          </w:p>
        </w:tc>
        <w:tc>
          <w:tcPr>
            <w:tcW w:w="5527" w:type="dxa"/>
            <w:vAlign w:val="center"/>
          </w:tcPr>
          <w:p w14:paraId="4ECF9D76">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《药品不良反应报告和监测管理办法》第十八条。</w:t>
            </w:r>
          </w:p>
        </w:tc>
      </w:tr>
      <w:tr w14:paraId="22221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jc w:val="center"/>
        </w:trPr>
        <w:tc>
          <w:tcPr>
            <w:tcW w:w="752" w:type="dxa"/>
            <w:vMerge w:val="continue"/>
            <w:vAlign w:val="top"/>
          </w:tcPr>
          <w:p w14:paraId="78DBABF9">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0E966D4A">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43</w:t>
            </w:r>
          </w:p>
        </w:tc>
        <w:tc>
          <w:tcPr>
            <w:tcW w:w="8511" w:type="dxa"/>
            <w:vAlign w:val="center"/>
          </w:tcPr>
          <w:p w14:paraId="79CB3465">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药品经营企业应当主动收集药品不良反应，获知或者发现药品不良反应后应当详细记录、分析和处理，填写《药品不良反应/事件报告表》并报告。</w:t>
            </w:r>
          </w:p>
          <w:p w14:paraId="49E79459">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shd w:val="clear" w:color="auto" w:fill="FFFFFF"/>
              </w:rPr>
            </w:pPr>
            <w:r>
              <w:rPr>
                <w:rFonts w:hint="eastAsia" w:ascii="方正仿宋_GBK" w:hAnsi="方正仿宋_GBK" w:eastAsia="方正仿宋_GBK" w:cs="方正仿宋_GBK"/>
                <w:kern w:val="0"/>
                <w:sz w:val="18"/>
                <w:szCs w:val="18"/>
              </w:rPr>
              <w:t>药品经营企业发现或者获知新的、严重的药品不良反应应当在15日内报告，其中死亡病例须立即报告；其他药品不良反应应当在30日内报告。有随访信息的，应当及时报告。</w:t>
            </w:r>
          </w:p>
        </w:tc>
        <w:tc>
          <w:tcPr>
            <w:tcW w:w="5527" w:type="dxa"/>
            <w:vAlign w:val="center"/>
          </w:tcPr>
          <w:p w14:paraId="5A503183">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《药品不良反应报告和监测管理办法》第十九条、第二十一条。</w:t>
            </w:r>
          </w:p>
        </w:tc>
      </w:tr>
      <w:tr w14:paraId="5F189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752" w:type="dxa"/>
            <w:vMerge w:val="restart"/>
            <w:vAlign w:val="center"/>
          </w:tcPr>
          <w:p w14:paraId="28832EC0">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药品不良反应</w:t>
            </w:r>
          </w:p>
        </w:tc>
        <w:tc>
          <w:tcPr>
            <w:tcW w:w="770" w:type="dxa"/>
            <w:vAlign w:val="center"/>
          </w:tcPr>
          <w:p w14:paraId="4F7343EE">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44</w:t>
            </w:r>
          </w:p>
        </w:tc>
        <w:tc>
          <w:tcPr>
            <w:tcW w:w="8511" w:type="dxa"/>
            <w:vAlign w:val="center"/>
          </w:tcPr>
          <w:p w14:paraId="70544802">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shd w:val="clear" w:color="auto" w:fill="FFFFFF"/>
              </w:rPr>
            </w:pPr>
            <w:r>
              <w:rPr>
                <w:rFonts w:hint="eastAsia" w:ascii="方正仿宋_GBK" w:hAnsi="方正仿宋_GBK" w:eastAsia="方正仿宋_GBK" w:cs="方正仿宋_GBK"/>
                <w:kern w:val="0"/>
                <w:sz w:val="18"/>
                <w:szCs w:val="18"/>
              </w:rPr>
              <w:t>药品经营企业获知或者发现药品群体不良事件后，应当立即通过电话或者传真等方式报所在地的县级药品监督管理部门、卫生行政部门和药品不良反应监测机构，必要时可以越级报告；同时填写《药品群体不良事件基本信息表》，对每一病例还应当及时填写《药品不良反应/事件报告表》，通过国家药品不良反应监测信息网络报告。</w:t>
            </w:r>
          </w:p>
        </w:tc>
        <w:tc>
          <w:tcPr>
            <w:tcW w:w="5527" w:type="dxa"/>
            <w:vAlign w:val="center"/>
          </w:tcPr>
          <w:p w14:paraId="71756946">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《药品不良反应报告和监测管理办法》第二十七条。</w:t>
            </w:r>
          </w:p>
        </w:tc>
      </w:tr>
      <w:tr w14:paraId="240F7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52" w:type="dxa"/>
            <w:vMerge w:val="continue"/>
            <w:vAlign w:val="top"/>
          </w:tcPr>
          <w:p w14:paraId="6AF80B93">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6792F256">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45</w:t>
            </w:r>
          </w:p>
        </w:tc>
        <w:tc>
          <w:tcPr>
            <w:tcW w:w="8511" w:type="dxa"/>
            <w:vAlign w:val="center"/>
          </w:tcPr>
          <w:p w14:paraId="19561644">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shd w:val="clear" w:color="auto" w:fill="FFFFFF"/>
              </w:rPr>
            </w:pPr>
            <w:r>
              <w:rPr>
                <w:rFonts w:hint="eastAsia" w:ascii="方正仿宋_GBK" w:hAnsi="方正仿宋_GBK" w:eastAsia="方正仿宋_GBK" w:cs="方正仿宋_GBK"/>
                <w:kern w:val="0"/>
                <w:sz w:val="18"/>
                <w:szCs w:val="18"/>
              </w:rPr>
              <w:t>药品经营企业发现药品群体不良事件应当立即告知药品生产企业，同时迅速开展自查，必要时应当暂停药品的销售，并协助药品生产企业采取相关控制措施。</w:t>
            </w:r>
          </w:p>
        </w:tc>
        <w:tc>
          <w:tcPr>
            <w:tcW w:w="5527" w:type="dxa"/>
            <w:vAlign w:val="center"/>
          </w:tcPr>
          <w:p w14:paraId="2595809A">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《药品不良反应报告和监测管理办法》第三十条。</w:t>
            </w:r>
          </w:p>
        </w:tc>
      </w:tr>
      <w:tr w14:paraId="39182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52" w:type="dxa"/>
            <w:vMerge w:val="continue"/>
            <w:vAlign w:val="top"/>
          </w:tcPr>
          <w:p w14:paraId="3227C8CA">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17409566">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46</w:t>
            </w:r>
          </w:p>
        </w:tc>
        <w:tc>
          <w:tcPr>
            <w:tcW w:w="8511" w:type="dxa"/>
            <w:vAlign w:val="center"/>
          </w:tcPr>
          <w:p w14:paraId="474616BD">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shd w:val="clear" w:color="auto" w:fill="FFFFFF"/>
              </w:rPr>
            </w:pPr>
            <w:r>
              <w:rPr>
                <w:rFonts w:hint="eastAsia" w:ascii="方正仿宋_GBK" w:hAnsi="方正仿宋_GBK" w:eastAsia="方正仿宋_GBK" w:cs="方正仿宋_GBK"/>
                <w:kern w:val="0"/>
                <w:sz w:val="18"/>
                <w:szCs w:val="18"/>
              </w:rPr>
              <w:t>药品经营企业应当对收集到的药品不良反应报告和监测资料进行分析和评价，并采取有效措施减少和防止药品不良反应的重复发生。</w:t>
            </w:r>
          </w:p>
        </w:tc>
        <w:tc>
          <w:tcPr>
            <w:tcW w:w="5527" w:type="dxa"/>
            <w:vAlign w:val="center"/>
          </w:tcPr>
          <w:p w14:paraId="7C2B9BBD">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《药品不良反应报告和监测管理办法》第四十六条。</w:t>
            </w:r>
          </w:p>
        </w:tc>
      </w:tr>
      <w:tr w14:paraId="52D96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752" w:type="dxa"/>
            <w:vMerge w:val="restart"/>
            <w:vAlign w:val="center"/>
          </w:tcPr>
          <w:p w14:paraId="51AADB76">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药品召回</w:t>
            </w:r>
          </w:p>
        </w:tc>
        <w:tc>
          <w:tcPr>
            <w:tcW w:w="770" w:type="dxa"/>
            <w:vAlign w:val="center"/>
          </w:tcPr>
          <w:p w14:paraId="338A4869">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47</w:t>
            </w:r>
          </w:p>
        </w:tc>
        <w:tc>
          <w:tcPr>
            <w:tcW w:w="8511" w:type="dxa"/>
            <w:vAlign w:val="center"/>
          </w:tcPr>
          <w:p w14:paraId="003CB2FC">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shd w:val="clear" w:color="auto" w:fill="FFFFFF"/>
              </w:rPr>
            </w:pPr>
            <w:r>
              <w:rPr>
                <w:rFonts w:hint="eastAsia" w:ascii="方正仿宋_GBK" w:hAnsi="方正仿宋_GBK" w:eastAsia="方正仿宋_GBK" w:cs="方正仿宋_GBK"/>
                <w:kern w:val="0"/>
                <w:sz w:val="18"/>
                <w:szCs w:val="18"/>
              </w:rPr>
              <w:t>药品存在质量问题或者其他安全隐患的，药品上市许可持有人召回已销售的药品，药品经营企业应当配合。</w:t>
            </w:r>
          </w:p>
        </w:tc>
        <w:tc>
          <w:tcPr>
            <w:tcW w:w="5527" w:type="dxa"/>
            <w:vAlign w:val="center"/>
          </w:tcPr>
          <w:p w14:paraId="7A496756">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《中华人民共和国药品管理法》第八十二条第一款。</w:t>
            </w:r>
          </w:p>
        </w:tc>
      </w:tr>
      <w:tr w14:paraId="007EA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752" w:type="dxa"/>
            <w:vMerge w:val="continue"/>
            <w:vAlign w:val="top"/>
          </w:tcPr>
          <w:p w14:paraId="7FFC1F83">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5F5C8481">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48</w:t>
            </w:r>
          </w:p>
        </w:tc>
        <w:tc>
          <w:tcPr>
            <w:tcW w:w="8511" w:type="dxa"/>
            <w:vAlign w:val="center"/>
          </w:tcPr>
          <w:p w14:paraId="76940904">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pacing w:val="-6"/>
                <w:kern w:val="0"/>
                <w:sz w:val="18"/>
                <w:szCs w:val="18"/>
              </w:rPr>
              <w:t>药品经营企业发现其销售的药品可能存在质量问题或者其他安全隐患的，应当及时通知持有人，必要时应当暂停销售，并向所在地省、自治区、直辖市人民政府药品监督管理部门报告，通知和报告的信息应当真实。</w:t>
            </w:r>
          </w:p>
        </w:tc>
        <w:tc>
          <w:tcPr>
            <w:tcW w:w="5527" w:type="dxa"/>
            <w:vAlign w:val="center"/>
          </w:tcPr>
          <w:p w14:paraId="242BF940">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《药品召回管理办法》第六条。</w:t>
            </w:r>
          </w:p>
        </w:tc>
      </w:tr>
      <w:tr w14:paraId="799EA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52" w:type="dxa"/>
            <w:vMerge w:val="restart"/>
            <w:vAlign w:val="center"/>
          </w:tcPr>
          <w:p w14:paraId="01A032FA">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药品价格</w:t>
            </w:r>
          </w:p>
        </w:tc>
        <w:tc>
          <w:tcPr>
            <w:tcW w:w="770" w:type="dxa"/>
            <w:vAlign w:val="center"/>
          </w:tcPr>
          <w:p w14:paraId="300D148E">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49</w:t>
            </w:r>
          </w:p>
        </w:tc>
        <w:tc>
          <w:tcPr>
            <w:tcW w:w="8511" w:type="dxa"/>
            <w:vAlign w:val="center"/>
          </w:tcPr>
          <w:p w14:paraId="259D6F39">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依法实行市场调节价的药品，药品经营企业应当按照公平、合理和诚实信用、质价相符的原则制定价格，为用药者提供价格合理的药品。药品经营企业应当遵守国务院药品价格主管部门关于药品价格管理的规定，制定和标明药品零售价格，禁止暴利、价格垄断和价格欺诈等行为。</w:t>
            </w:r>
          </w:p>
        </w:tc>
        <w:tc>
          <w:tcPr>
            <w:tcW w:w="5527" w:type="dxa"/>
            <w:vAlign w:val="center"/>
          </w:tcPr>
          <w:p w14:paraId="18BA0E33">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《中华人民共和国药品管理法》第八十五条。</w:t>
            </w:r>
          </w:p>
        </w:tc>
      </w:tr>
      <w:tr w14:paraId="36EE7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752" w:type="dxa"/>
            <w:vMerge w:val="continue"/>
            <w:vAlign w:val="top"/>
          </w:tcPr>
          <w:p w14:paraId="5F003A4E">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76BD951E">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50</w:t>
            </w:r>
          </w:p>
        </w:tc>
        <w:tc>
          <w:tcPr>
            <w:tcW w:w="8511" w:type="dxa"/>
            <w:vAlign w:val="center"/>
          </w:tcPr>
          <w:p w14:paraId="46C37BAE">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pacing w:val="-6"/>
                <w:kern w:val="0"/>
                <w:sz w:val="18"/>
                <w:szCs w:val="18"/>
              </w:rPr>
              <w:t>药品经营企业应当依法向药品价格主管部门提供其药品的实际购销价格和购销数量等资料。</w:t>
            </w:r>
          </w:p>
        </w:tc>
        <w:tc>
          <w:tcPr>
            <w:tcW w:w="5527" w:type="dxa"/>
            <w:vAlign w:val="center"/>
          </w:tcPr>
          <w:p w14:paraId="6971C86A">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《中华人民共和国药品管理法》第八十六条。</w:t>
            </w:r>
          </w:p>
        </w:tc>
      </w:tr>
      <w:tr w14:paraId="65E44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752" w:type="dxa"/>
            <w:vMerge w:val="continue"/>
            <w:vAlign w:val="center"/>
          </w:tcPr>
          <w:p w14:paraId="77566409">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3F508EC5">
            <w:pPr>
              <w:keepNext w:val="0"/>
              <w:keepLines w:val="0"/>
              <w:pageBreakBefore w:val="0"/>
              <w:widowControl/>
              <w:kinsoku/>
              <w:wordWrap/>
              <w:overflowPunct/>
              <w:topLinePunct w:val="0"/>
              <w:autoSpaceDE w:val="0"/>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51</w:t>
            </w:r>
          </w:p>
        </w:tc>
        <w:tc>
          <w:tcPr>
            <w:tcW w:w="8511" w:type="dxa"/>
            <w:vAlign w:val="center"/>
          </w:tcPr>
          <w:p w14:paraId="3295C6CB">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禁止药品经营企业在药品购销中给予、收受回扣或者其他不正当利益。</w:t>
            </w:r>
          </w:p>
          <w:p w14:paraId="038276D3">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禁止药品经营企业或者代理人以任何名义给予使用其药品的医疗机构的负责人、药品采购人员、医师、药师等有关人员财物或者其他不正当利益。</w:t>
            </w:r>
          </w:p>
        </w:tc>
        <w:tc>
          <w:tcPr>
            <w:tcW w:w="5527" w:type="dxa"/>
            <w:vAlign w:val="center"/>
          </w:tcPr>
          <w:p w14:paraId="68CDEB1E">
            <w:pPr>
              <w:keepNext w:val="0"/>
              <w:keepLines w:val="0"/>
              <w:pageBreakBefore w:val="0"/>
              <w:widowControl/>
              <w:kinsoku/>
              <w:wordWrap/>
              <w:overflowPunct/>
              <w:topLinePunct w:val="0"/>
              <w:autoSpaceDE w:val="0"/>
              <w:autoSpaceDN/>
              <w:bidi w:val="0"/>
              <w:adjustRightInd/>
              <w:snapToGrid w:val="0"/>
              <w:spacing w:line="32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《中华人民共和国药品管理法》第八十八条。</w:t>
            </w:r>
          </w:p>
        </w:tc>
      </w:tr>
      <w:tr w14:paraId="25604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752" w:type="dxa"/>
            <w:vAlign w:val="center"/>
          </w:tcPr>
          <w:p w14:paraId="2FC5E505">
            <w:pPr>
              <w:keepNext w:val="0"/>
              <w:keepLines w:val="0"/>
              <w:pageBreakBefore w:val="0"/>
              <w:widowControl/>
              <w:kinsoku/>
              <w:wordWrap/>
              <w:overflowPunct/>
              <w:topLinePunct w:val="0"/>
              <w:autoSpaceDE w:val="0"/>
              <w:autoSpaceDN/>
              <w:bidi w:val="0"/>
              <w:adjustRightInd/>
              <w:snapToGrid w:val="0"/>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pacing w:val="-6"/>
                <w:kern w:val="0"/>
                <w:sz w:val="18"/>
                <w:szCs w:val="18"/>
              </w:rPr>
              <w:t>药品储备和供应</w:t>
            </w:r>
          </w:p>
        </w:tc>
        <w:tc>
          <w:tcPr>
            <w:tcW w:w="770" w:type="dxa"/>
            <w:vAlign w:val="center"/>
          </w:tcPr>
          <w:p w14:paraId="5A2F3232">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52</w:t>
            </w:r>
          </w:p>
        </w:tc>
        <w:tc>
          <w:tcPr>
            <w:tcW w:w="8511" w:type="dxa"/>
            <w:vAlign w:val="center"/>
          </w:tcPr>
          <w:p w14:paraId="181083B3">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药品经营企业应当按照规定保障短缺药品供应。</w:t>
            </w:r>
          </w:p>
        </w:tc>
        <w:tc>
          <w:tcPr>
            <w:tcW w:w="5527" w:type="dxa"/>
            <w:vAlign w:val="center"/>
          </w:tcPr>
          <w:p w14:paraId="0E8B7E6A">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《中华人民共和国药品管理法》第九十七条第二款。</w:t>
            </w:r>
          </w:p>
        </w:tc>
      </w:tr>
      <w:tr w14:paraId="303D1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752" w:type="dxa"/>
            <w:vMerge w:val="restart"/>
            <w:vAlign w:val="center"/>
          </w:tcPr>
          <w:p w14:paraId="562A6DA4">
            <w:pPr>
              <w:keepNext w:val="0"/>
              <w:keepLines w:val="0"/>
              <w:pageBreakBefore w:val="0"/>
              <w:widowControl/>
              <w:kinsoku/>
              <w:wordWrap/>
              <w:overflowPunct/>
              <w:topLinePunct w:val="0"/>
              <w:autoSpaceDE w:val="0"/>
              <w:autoSpaceDN/>
              <w:bidi w:val="0"/>
              <w:adjustRightInd/>
              <w:snapToGrid w:val="0"/>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特殊管理药品经营</w:t>
            </w:r>
          </w:p>
        </w:tc>
        <w:tc>
          <w:tcPr>
            <w:tcW w:w="770" w:type="dxa"/>
            <w:vAlign w:val="center"/>
          </w:tcPr>
          <w:p w14:paraId="78DE41D3">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53</w:t>
            </w:r>
          </w:p>
        </w:tc>
        <w:tc>
          <w:tcPr>
            <w:tcW w:w="8511" w:type="dxa"/>
            <w:vAlign w:val="center"/>
          </w:tcPr>
          <w:p w14:paraId="744E10F8">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药品零售企业应当凭执业医师出具的处方，按规定剂量销售第二类精神药品，并将处方保存</w:t>
            </w:r>
            <w:r>
              <w:rPr>
                <w:rFonts w:hint="eastAsia" w:ascii="方正仿宋_GBK" w:hAnsi="方正仿宋_GBK" w:eastAsia="方正仿宋_GBK" w:cs="方正仿宋_GBK"/>
                <w:spacing w:val="-4"/>
                <w:kern w:val="0"/>
                <w:sz w:val="18"/>
                <w:szCs w:val="18"/>
              </w:rPr>
              <w:t>2年备查；禁止超剂量或者无处方销售第二类精神药品；不得向未成年人销售第二类精神药品。</w:t>
            </w:r>
          </w:p>
        </w:tc>
        <w:tc>
          <w:tcPr>
            <w:tcW w:w="5527" w:type="dxa"/>
            <w:vAlign w:val="center"/>
          </w:tcPr>
          <w:p w14:paraId="5D6801A4">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《麻醉药品和精神药品管理条例》第三十二条。</w:t>
            </w:r>
          </w:p>
        </w:tc>
      </w:tr>
      <w:tr w14:paraId="5EB81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752" w:type="dxa"/>
            <w:vMerge w:val="continue"/>
            <w:vAlign w:val="top"/>
          </w:tcPr>
          <w:p w14:paraId="2F67C522">
            <w:pPr>
              <w:keepNext w:val="0"/>
              <w:keepLines w:val="0"/>
              <w:pageBreakBefore w:val="0"/>
              <w:widowControl/>
              <w:kinsoku/>
              <w:wordWrap/>
              <w:overflowPunct/>
              <w:topLinePunct w:val="0"/>
              <w:autoSpaceDE w:val="0"/>
              <w:autoSpaceDN/>
              <w:bidi w:val="0"/>
              <w:adjustRightInd/>
              <w:snapToGrid w:val="0"/>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43F2DC91">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54</w:t>
            </w:r>
          </w:p>
        </w:tc>
        <w:tc>
          <w:tcPr>
            <w:tcW w:w="8511" w:type="dxa"/>
            <w:vAlign w:val="center"/>
          </w:tcPr>
          <w:p w14:paraId="6BD34C75">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除胰岛素外，药品零售企业不得经营蛋白同化制剂或者其他肽类激素。</w:t>
            </w:r>
          </w:p>
        </w:tc>
        <w:tc>
          <w:tcPr>
            <w:tcW w:w="5527" w:type="dxa"/>
            <w:vAlign w:val="center"/>
          </w:tcPr>
          <w:p w14:paraId="3A111AE1">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《反兴奋剂条例》第十条。</w:t>
            </w:r>
          </w:p>
        </w:tc>
      </w:tr>
      <w:tr w14:paraId="68537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752" w:type="dxa"/>
            <w:vMerge w:val="continue"/>
            <w:vAlign w:val="top"/>
          </w:tcPr>
          <w:p w14:paraId="56B2886F">
            <w:pPr>
              <w:keepNext w:val="0"/>
              <w:keepLines w:val="0"/>
              <w:pageBreakBefore w:val="0"/>
              <w:widowControl/>
              <w:kinsoku/>
              <w:wordWrap/>
              <w:overflowPunct/>
              <w:topLinePunct w:val="0"/>
              <w:autoSpaceDE w:val="0"/>
              <w:autoSpaceDN/>
              <w:bidi w:val="0"/>
              <w:adjustRightInd/>
              <w:snapToGrid w:val="0"/>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75ED9BE5">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55</w:t>
            </w:r>
          </w:p>
        </w:tc>
        <w:tc>
          <w:tcPr>
            <w:tcW w:w="8511" w:type="dxa"/>
            <w:vAlign w:val="center"/>
          </w:tcPr>
          <w:p w14:paraId="53CDA225">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spacing w:val="-2"/>
                <w:kern w:val="0"/>
                <w:sz w:val="18"/>
                <w:szCs w:val="18"/>
              </w:rPr>
            </w:pPr>
            <w:r>
              <w:rPr>
                <w:rFonts w:hint="eastAsia" w:ascii="方正仿宋_GBK" w:hAnsi="方正仿宋_GBK" w:eastAsia="方正仿宋_GBK" w:cs="方正仿宋_GBK"/>
                <w:kern w:val="0"/>
                <w:sz w:val="18"/>
                <w:szCs w:val="18"/>
              </w:rPr>
              <w:t>经营毒性药品的单位必须建立健全保管、验收、领发、核对等制度；严防收假、发错，严禁与其他药品混杂，做到划定仓间或仓位，专柜加锁并由专人保管。</w:t>
            </w:r>
          </w:p>
        </w:tc>
        <w:tc>
          <w:tcPr>
            <w:tcW w:w="5527" w:type="dxa"/>
            <w:vAlign w:val="center"/>
          </w:tcPr>
          <w:p w14:paraId="7EEDAB0C">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《医疗用毒性药品管理办法》第六条第一款。</w:t>
            </w:r>
          </w:p>
        </w:tc>
      </w:tr>
      <w:tr w14:paraId="31BBF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752" w:type="dxa"/>
            <w:vMerge w:val="continue"/>
            <w:vAlign w:val="top"/>
          </w:tcPr>
          <w:p w14:paraId="52EB24ED">
            <w:pPr>
              <w:keepNext w:val="0"/>
              <w:keepLines w:val="0"/>
              <w:pageBreakBefore w:val="0"/>
              <w:widowControl/>
              <w:kinsoku/>
              <w:wordWrap/>
              <w:overflowPunct/>
              <w:topLinePunct w:val="0"/>
              <w:autoSpaceDE w:val="0"/>
              <w:autoSpaceDN/>
              <w:bidi w:val="0"/>
              <w:adjustRightInd/>
              <w:snapToGrid w:val="0"/>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4AB040D5">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56</w:t>
            </w:r>
          </w:p>
        </w:tc>
        <w:tc>
          <w:tcPr>
            <w:tcW w:w="8511" w:type="dxa"/>
            <w:vAlign w:val="center"/>
          </w:tcPr>
          <w:p w14:paraId="7F01CBE4">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经营单位应当建立易制毒化学品销售台账，如实记录销售的品种、数量、日期、购买方等情况。销售台账和证明材料复印件应当保存2年备查。</w:t>
            </w:r>
          </w:p>
        </w:tc>
        <w:tc>
          <w:tcPr>
            <w:tcW w:w="5527" w:type="dxa"/>
            <w:vAlign w:val="center"/>
          </w:tcPr>
          <w:p w14:paraId="3E40C660">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《易制毒化学品管理条例》第十九条第一款。</w:t>
            </w:r>
          </w:p>
        </w:tc>
      </w:tr>
      <w:tr w14:paraId="118B2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752" w:type="dxa"/>
            <w:vMerge w:val="restart"/>
            <w:vAlign w:val="center"/>
          </w:tcPr>
          <w:p w14:paraId="3D8F7C26">
            <w:pPr>
              <w:keepNext w:val="0"/>
              <w:keepLines w:val="0"/>
              <w:pageBreakBefore w:val="0"/>
              <w:widowControl/>
              <w:kinsoku/>
              <w:wordWrap/>
              <w:overflowPunct/>
              <w:topLinePunct w:val="0"/>
              <w:autoSpaceDE w:val="0"/>
              <w:autoSpaceDN/>
              <w:bidi w:val="0"/>
              <w:adjustRightInd/>
              <w:snapToGrid w:val="0"/>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特殊管理药品储存、运输管理</w:t>
            </w:r>
          </w:p>
        </w:tc>
        <w:tc>
          <w:tcPr>
            <w:tcW w:w="770" w:type="dxa"/>
            <w:vAlign w:val="center"/>
          </w:tcPr>
          <w:p w14:paraId="4407328F">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57</w:t>
            </w:r>
          </w:p>
        </w:tc>
        <w:tc>
          <w:tcPr>
            <w:tcW w:w="8511" w:type="dxa"/>
            <w:vAlign w:val="center"/>
          </w:tcPr>
          <w:p w14:paraId="369247EB">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spacing w:val="-6"/>
                <w:kern w:val="0"/>
                <w:sz w:val="18"/>
                <w:szCs w:val="18"/>
              </w:rPr>
            </w:pPr>
            <w:r>
              <w:rPr>
                <w:rFonts w:hint="eastAsia" w:ascii="方正仿宋_GBK" w:hAnsi="方正仿宋_GBK" w:eastAsia="方正仿宋_GBK" w:cs="方正仿宋_GBK"/>
                <w:spacing w:val="-6"/>
                <w:kern w:val="0"/>
                <w:sz w:val="18"/>
                <w:szCs w:val="18"/>
              </w:rPr>
              <w:t>第二类精神药品经营企业应当在药品库房中设立独立的专库或者专柜储存第二类精神药品，并建立专用账册，实行专人管理。专用账册的保存期限应当自药品有效期期满之日起不少于5年。</w:t>
            </w:r>
          </w:p>
        </w:tc>
        <w:tc>
          <w:tcPr>
            <w:tcW w:w="5527" w:type="dxa"/>
            <w:vAlign w:val="center"/>
          </w:tcPr>
          <w:p w14:paraId="6A7743F6">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《麻醉药品和精神药品管理条例》第四十九条。</w:t>
            </w:r>
          </w:p>
        </w:tc>
      </w:tr>
      <w:tr w14:paraId="6FDD1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752" w:type="dxa"/>
            <w:vMerge w:val="continue"/>
            <w:vAlign w:val="top"/>
          </w:tcPr>
          <w:p w14:paraId="41EADABD">
            <w:pPr>
              <w:keepNext w:val="0"/>
              <w:keepLines w:val="0"/>
              <w:pageBreakBefore w:val="0"/>
              <w:widowControl/>
              <w:kinsoku/>
              <w:wordWrap/>
              <w:overflowPunct/>
              <w:topLinePunct w:val="0"/>
              <w:autoSpaceDE w:val="0"/>
              <w:autoSpaceDN/>
              <w:bidi w:val="0"/>
              <w:adjustRightInd/>
              <w:snapToGrid w:val="0"/>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2E6798F1">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58</w:t>
            </w:r>
          </w:p>
        </w:tc>
        <w:tc>
          <w:tcPr>
            <w:tcW w:w="8511" w:type="dxa"/>
            <w:vAlign w:val="center"/>
          </w:tcPr>
          <w:p w14:paraId="2DCD595F">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托运、承运和自行运输麻醉药品和精神药品的，应当采取安全保障措施，防止麻醉药品和精神药品在运输过程中被盗、被抢、丢失。</w:t>
            </w:r>
          </w:p>
        </w:tc>
        <w:tc>
          <w:tcPr>
            <w:tcW w:w="5527" w:type="dxa"/>
            <w:vAlign w:val="center"/>
          </w:tcPr>
          <w:p w14:paraId="6173EE3F">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《麻醉药品和精神药品管理条例》第五十条。</w:t>
            </w:r>
          </w:p>
        </w:tc>
      </w:tr>
      <w:tr w14:paraId="3172A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752" w:type="dxa"/>
            <w:vAlign w:val="center"/>
          </w:tcPr>
          <w:p w14:paraId="2D8EF014">
            <w:pPr>
              <w:keepNext w:val="0"/>
              <w:keepLines w:val="0"/>
              <w:pageBreakBefore w:val="0"/>
              <w:widowControl/>
              <w:kinsoku/>
              <w:wordWrap/>
              <w:overflowPunct/>
              <w:topLinePunct w:val="0"/>
              <w:autoSpaceDE w:val="0"/>
              <w:autoSpaceDN/>
              <w:bidi w:val="0"/>
              <w:adjustRightInd/>
              <w:snapToGrid w:val="0"/>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监督检查</w:t>
            </w:r>
          </w:p>
        </w:tc>
        <w:tc>
          <w:tcPr>
            <w:tcW w:w="770" w:type="dxa"/>
            <w:vAlign w:val="center"/>
          </w:tcPr>
          <w:p w14:paraId="2A8CEC07">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59</w:t>
            </w:r>
          </w:p>
        </w:tc>
        <w:tc>
          <w:tcPr>
            <w:tcW w:w="8511" w:type="dxa"/>
            <w:vAlign w:val="center"/>
          </w:tcPr>
          <w:p w14:paraId="3538D295">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对药品监督管理部门应当依法开展监督检查、延伸检查等，有关单位和个人应当予以配合，不得拒绝和隐瞒。</w:t>
            </w:r>
          </w:p>
        </w:tc>
        <w:tc>
          <w:tcPr>
            <w:tcW w:w="5527" w:type="dxa"/>
            <w:vAlign w:val="center"/>
          </w:tcPr>
          <w:p w14:paraId="4C95576E">
            <w:pPr>
              <w:keepNext w:val="0"/>
              <w:keepLines w:val="0"/>
              <w:pageBreakBefore w:val="0"/>
              <w:widowControl/>
              <w:kinsoku/>
              <w:wordWrap/>
              <w:overflowPunct/>
              <w:topLinePunct w:val="0"/>
              <w:autoSpaceDE w:val="0"/>
              <w:autoSpaceDN/>
              <w:bidi w:val="0"/>
              <w:adjustRightInd/>
              <w:snapToGrid w:val="0"/>
              <w:spacing w:line="34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《中华人民共和国药品管理法》第九十九条第一款。</w:t>
            </w:r>
          </w:p>
        </w:tc>
      </w:tr>
    </w:tbl>
    <w:p w14:paraId="2444DE1A">
      <w:pPr>
        <w:rPr>
          <w:rFonts w:ascii="Times New Roman" w:hAnsi="Times New Roman"/>
        </w:rPr>
      </w:pPr>
    </w:p>
    <w:p w14:paraId="324AF28E">
      <w:pPr>
        <w:rPr>
          <w:rFonts w:ascii="Times New Roman" w:hAnsi="Times New Roman"/>
        </w:rPr>
      </w:pPr>
    </w:p>
    <w:tbl>
      <w:tblPr>
        <w:tblStyle w:val="9"/>
        <w:tblW w:w="155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8"/>
        <w:gridCol w:w="770"/>
        <w:gridCol w:w="8511"/>
        <w:gridCol w:w="5522"/>
      </w:tblGrid>
      <w:tr w14:paraId="74F41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blHeader/>
          <w:jc w:val="center"/>
        </w:trPr>
        <w:tc>
          <w:tcPr>
            <w:tcW w:w="748" w:type="dxa"/>
            <w:vAlign w:val="center"/>
          </w:tcPr>
          <w:p w14:paraId="0DCE7EA1">
            <w:pPr>
              <w:widowControl/>
              <w:snapToGrid w:val="0"/>
              <w:spacing w:line="400" w:lineRule="exact"/>
              <w:jc w:val="center"/>
              <w:textAlignment w:val="center"/>
              <w:rPr>
                <w:rFonts w:eastAsia="方正黑体_GBK" w:cs="宋体"/>
                <w:bCs/>
                <w:kern w:val="0"/>
                <w:sz w:val="18"/>
                <w:szCs w:val="18"/>
              </w:rPr>
            </w:pPr>
            <w:r>
              <w:rPr>
                <w:rFonts w:hint="eastAsia" w:eastAsia="方正黑体_GBK" w:cs="宋体"/>
                <w:bCs/>
                <w:kern w:val="0"/>
                <w:sz w:val="18"/>
                <w:szCs w:val="18"/>
              </w:rPr>
              <w:t>表15</w:t>
            </w:r>
          </w:p>
        </w:tc>
        <w:tc>
          <w:tcPr>
            <w:tcW w:w="14803" w:type="dxa"/>
            <w:gridSpan w:val="3"/>
            <w:vAlign w:val="center"/>
          </w:tcPr>
          <w:p w14:paraId="09030236">
            <w:pPr>
              <w:snapToGrid w:val="0"/>
              <w:spacing w:line="400" w:lineRule="exact"/>
              <w:jc w:val="center"/>
              <w:rPr>
                <w:rFonts w:eastAsia="方正黑体_GBK" w:cs="宋体"/>
                <w:bCs/>
                <w:kern w:val="0"/>
                <w:sz w:val="18"/>
                <w:szCs w:val="18"/>
              </w:rPr>
            </w:pPr>
            <w:r>
              <w:rPr>
                <w:rFonts w:hint="eastAsia" w:eastAsia="方正黑体_GBK"/>
                <w:bCs/>
                <w:sz w:val="18"/>
                <w:szCs w:val="18"/>
              </w:rPr>
              <w:t>医疗器械经营企业主体责任清单</w:t>
            </w:r>
          </w:p>
        </w:tc>
      </w:tr>
      <w:tr w14:paraId="0E313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blHeader/>
          <w:jc w:val="center"/>
        </w:trPr>
        <w:tc>
          <w:tcPr>
            <w:tcW w:w="748" w:type="dxa"/>
            <w:vAlign w:val="center"/>
          </w:tcPr>
          <w:p w14:paraId="557AFA77">
            <w:pPr>
              <w:widowControl/>
              <w:snapToGrid w:val="0"/>
              <w:spacing w:line="400" w:lineRule="exact"/>
              <w:jc w:val="center"/>
              <w:textAlignment w:val="center"/>
              <w:rPr>
                <w:rFonts w:eastAsia="方正黑体_GBK" w:cs="宋体"/>
                <w:bCs/>
                <w:sz w:val="18"/>
                <w:szCs w:val="18"/>
              </w:rPr>
            </w:pPr>
            <w:r>
              <w:rPr>
                <w:rFonts w:hint="eastAsia" w:eastAsia="方正黑体_GBK" w:cs="宋体"/>
                <w:bCs/>
                <w:kern w:val="0"/>
                <w:sz w:val="18"/>
                <w:szCs w:val="18"/>
              </w:rPr>
              <w:t>分类</w:t>
            </w:r>
          </w:p>
        </w:tc>
        <w:tc>
          <w:tcPr>
            <w:tcW w:w="770" w:type="dxa"/>
            <w:vAlign w:val="center"/>
          </w:tcPr>
          <w:p w14:paraId="603256BE">
            <w:pPr>
              <w:widowControl/>
              <w:snapToGrid w:val="0"/>
              <w:spacing w:line="400" w:lineRule="exact"/>
              <w:jc w:val="center"/>
              <w:textAlignment w:val="center"/>
              <w:rPr>
                <w:rFonts w:eastAsia="方正黑体_GBK" w:cs="宋体"/>
                <w:bCs/>
                <w:sz w:val="18"/>
                <w:szCs w:val="18"/>
              </w:rPr>
            </w:pPr>
            <w:r>
              <w:rPr>
                <w:rFonts w:hint="eastAsia" w:eastAsia="方正黑体_GBK" w:cs="宋体"/>
                <w:bCs/>
                <w:kern w:val="0"/>
                <w:sz w:val="18"/>
                <w:szCs w:val="18"/>
              </w:rPr>
              <w:t>序号</w:t>
            </w:r>
          </w:p>
        </w:tc>
        <w:tc>
          <w:tcPr>
            <w:tcW w:w="8511" w:type="dxa"/>
            <w:vAlign w:val="center"/>
          </w:tcPr>
          <w:p w14:paraId="018EDCD3">
            <w:pPr>
              <w:widowControl/>
              <w:snapToGrid w:val="0"/>
              <w:spacing w:line="400" w:lineRule="exact"/>
              <w:jc w:val="center"/>
              <w:textAlignment w:val="center"/>
              <w:rPr>
                <w:rFonts w:eastAsia="方正黑体_GBK" w:cs="宋体"/>
                <w:bCs/>
                <w:sz w:val="18"/>
                <w:szCs w:val="18"/>
              </w:rPr>
            </w:pPr>
            <w:r>
              <w:rPr>
                <w:rFonts w:hint="eastAsia" w:eastAsia="方正黑体_GBK" w:cs="宋体"/>
                <w:bCs/>
                <w:kern w:val="0"/>
                <w:sz w:val="18"/>
                <w:szCs w:val="18"/>
              </w:rPr>
              <w:t>主体责任</w:t>
            </w:r>
          </w:p>
        </w:tc>
        <w:tc>
          <w:tcPr>
            <w:tcW w:w="5522" w:type="dxa"/>
            <w:vAlign w:val="center"/>
          </w:tcPr>
          <w:p w14:paraId="77509457">
            <w:pPr>
              <w:widowControl/>
              <w:snapToGrid w:val="0"/>
              <w:spacing w:line="400" w:lineRule="exact"/>
              <w:jc w:val="center"/>
              <w:textAlignment w:val="center"/>
              <w:rPr>
                <w:rFonts w:eastAsia="方正黑体_GBK" w:cs="宋体"/>
                <w:bCs/>
                <w:sz w:val="18"/>
                <w:szCs w:val="18"/>
              </w:rPr>
            </w:pPr>
            <w:r>
              <w:rPr>
                <w:rFonts w:hint="eastAsia" w:eastAsia="方正黑体_GBK" w:cs="宋体"/>
                <w:bCs/>
                <w:kern w:val="0"/>
                <w:sz w:val="18"/>
                <w:szCs w:val="18"/>
              </w:rPr>
              <w:t>责任依据</w:t>
            </w:r>
          </w:p>
        </w:tc>
      </w:tr>
      <w:tr w14:paraId="4B0FD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jc w:val="center"/>
        </w:trPr>
        <w:tc>
          <w:tcPr>
            <w:tcW w:w="748" w:type="dxa"/>
            <w:vMerge w:val="restart"/>
            <w:vAlign w:val="center"/>
          </w:tcPr>
          <w:p w14:paraId="489B8CB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kern w:val="0"/>
                <w:sz w:val="18"/>
                <w:szCs w:val="18"/>
              </w:rPr>
              <w:t>一般总则</w:t>
            </w:r>
          </w:p>
        </w:tc>
        <w:tc>
          <w:tcPr>
            <w:tcW w:w="770" w:type="dxa"/>
            <w:vAlign w:val="center"/>
          </w:tcPr>
          <w:p w14:paraId="4ABE2A0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kern w:val="0"/>
                <w:sz w:val="18"/>
                <w:szCs w:val="18"/>
              </w:rPr>
              <w:t>1</w:t>
            </w:r>
          </w:p>
        </w:tc>
        <w:tc>
          <w:tcPr>
            <w:tcW w:w="8511" w:type="dxa"/>
            <w:vAlign w:val="center"/>
          </w:tcPr>
          <w:p w14:paraId="45B7EC8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从事医疗器械经营活动，应当有与经营规模和经营范围相适应的经营场所和贮存条件，以及与经营的医疗器械相适应的质量管理制度和质量管理机构或者人员，质量管理人员应当具有相关专业学历和职称。</w:t>
            </w:r>
          </w:p>
        </w:tc>
        <w:tc>
          <w:tcPr>
            <w:tcW w:w="5522" w:type="dxa"/>
            <w:vAlign w:val="center"/>
          </w:tcPr>
          <w:p w14:paraId="502991A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《医疗器械监督管理条例》第四十条。</w:t>
            </w:r>
          </w:p>
        </w:tc>
      </w:tr>
      <w:tr w14:paraId="7D47F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748" w:type="dxa"/>
            <w:vMerge w:val="continue"/>
            <w:vAlign w:val="center"/>
          </w:tcPr>
          <w:p w14:paraId="3677CFD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566F46B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2</w:t>
            </w:r>
          </w:p>
        </w:tc>
        <w:tc>
          <w:tcPr>
            <w:tcW w:w="8511" w:type="dxa"/>
            <w:vAlign w:val="center"/>
          </w:tcPr>
          <w:p w14:paraId="21E920D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从事医疗器械经营活动，应当遵守法律、法规、规章、强制性标准和医疗器械经营质量管理规范等要求，保证医疗器械经营过程信息真实、准确、完整和可追溯。</w:t>
            </w:r>
          </w:p>
        </w:tc>
        <w:tc>
          <w:tcPr>
            <w:tcW w:w="5522" w:type="dxa"/>
            <w:vAlign w:val="center"/>
          </w:tcPr>
          <w:p w14:paraId="6F24566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《医疗器械经营监督管理办法》第三条。</w:t>
            </w:r>
          </w:p>
        </w:tc>
      </w:tr>
      <w:tr w14:paraId="69E3C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748" w:type="dxa"/>
            <w:vMerge w:val="restart"/>
            <w:vAlign w:val="center"/>
          </w:tcPr>
          <w:p w14:paraId="7A283D7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kern w:val="0"/>
                <w:sz w:val="18"/>
                <w:szCs w:val="18"/>
              </w:rPr>
              <w:t>经营资质</w:t>
            </w:r>
          </w:p>
        </w:tc>
        <w:tc>
          <w:tcPr>
            <w:tcW w:w="770" w:type="dxa"/>
            <w:vAlign w:val="center"/>
          </w:tcPr>
          <w:p w14:paraId="438F22D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3</w:t>
            </w:r>
          </w:p>
        </w:tc>
        <w:tc>
          <w:tcPr>
            <w:tcW w:w="8511" w:type="dxa"/>
            <w:vAlign w:val="center"/>
          </w:tcPr>
          <w:p w14:paraId="06DD616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从事第二类医疗器械经营的，由经营企业向所在地区县（自治县）人民政府负责药品监督管理的部门提交有关资料，取得《第二类医疗器械经营备案凭证》后方可经营。</w:t>
            </w:r>
          </w:p>
        </w:tc>
        <w:tc>
          <w:tcPr>
            <w:tcW w:w="5522" w:type="dxa"/>
            <w:vAlign w:val="center"/>
          </w:tcPr>
          <w:p w14:paraId="2D879B7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《医疗器械监督管理条例》第四十一条。</w:t>
            </w:r>
          </w:p>
        </w:tc>
      </w:tr>
      <w:tr w14:paraId="6F0DE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748" w:type="dxa"/>
            <w:vMerge w:val="continue"/>
            <w:vAlign w:val="center"/>
          </w:tcPr>
          <w:p w14:paraId="070A098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22D0F74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4</w:t>
            </w:r>
          </w:p>
        </w:tc>
        <w:tc>
          <w:tcPr>
            <w:tcW w:w="8511" w:type="dxa"/>
            <w:vAlign w:val="center"/>
          </w:tcPr>
          <w:p w14:paraId="782AF71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从事第三类医疗器械经营的，经营企业应当向所在地区县（自治县）人民政府负责药品监督管理的部门提交有关资料，取得《医疗器械经营许可证》后方可经营。</w:t>
            </w:r>
          </w:p>
        </w:tc>
        <w:tc>
          <w:tcPr>
            <w:tcW w:w="5522" w:type="dxa"/>
            <w:vAlign w:val="center"/>
          </w:tcPr>
          <w:p w14:paraId="58FC48D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《医疗器械监督管理条例》第四十二条。</w:t>
            </w:r>
          </w:p>
        </w:tc>
      </w:tr>
      <w:tr w14:paraId="4452F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48" w:type="dxa"/>
            <w:vMerge w:val="continue"/>
            <w:vAlign w:val="center"/>
          </w:tcPr>
          <w:p w14:paraId="22247B5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2D98764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5</w:t>
            </w:r>
          </w:p>
        </w:tc>
        <w:tc>
          <w:tcPr>
            <w:tcW w:w="8511" w:type="dxa"/>
            <w:vAlign w:val="center"/>
          </w:tcPr>
          <w:p w14:paraId="6B5AD84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医疗器械经营许可证变更的，应当向原发证部门提出医疗器械经营许可证变更申请，并提交相关变更材料。</w:t>
            </w:r>
          </w:p>
        </w:tc>
        <w:tc>
          <w:tcPr>
            <w:tcW w:w="5522" w:type="dxa"/>
            <w:vAlign w:val="center"/>
          </w:tcPr>
          <w:p w14:paraId="79B08F3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《医疗器械经营监督管理办法》第十五条。</w:t>
            </w:r>
          </w:p>
        </w:tc>
      </w:tr>
      <w:tr w14:paraId="67239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748" w:type="dxa"/>
            <w:vMerge w:val="continue"/>
            <w:vAlign w:val="center"/>
          </w:tcPr>
          <w:p w14:paraId="07D6971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7F21DA1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6</w:t>
            </w:r>
          </w:p>
        </w:tc>
        <w:tc>
          <w:tcPr>
            <w:tcW w:w="8511" w:type="dxa"/>
            <w:vAlign w:val="center"/>
          </w:tcPr>
          <w:p w14:paraId="736FB6E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医疗器械经营许可证有效期届满需要延续的，医疗器械经营企业应当在有效期届满前90个工作日至30个工作日期间提出延续申请。逾期未提出延续申请的，按照新开办流程办理。</w:t>
            </w:r>
          </w:p>
        </w:tc>
        <w:tc>
          <w:tcPr>
            <w:tcW w:w="5522" w:type="dxa"/>
            <w:vAlign w:val="center"/>
          </w:tcPr>
          <w:p w14:paraId="28D61DB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《医疗器械经营监督管理办法》第十六条。</w:t>
            </w:r>
          </w:p>
        </w:tc>
      </w:tr>
      <w:tr w14:paraId="70D45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748" w:type="dxa"/>
            <w:vMerge w:val="continue"/>
            <w:vAlign w:val="center"/>
          </w:tcPr>
          <w:p w14:paraId="624B079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3B90704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7</w:t>
            </w:r>
          </w:p>
        </w:tc>
        <w:tc>
          <w:tcPr>
            <w:tcW w:w="8511" w:type="dxa"/>
            <w:vAlign w:val="center"/>
          </w:tcPr>
          <w:p w14:paraId="50D9B03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经营企业新设立独立经营场所的，应当依法单独申请医疗器械经营许可或者进行备案。</w:t>
            </w:r>
          </w:p>
        </w:tc>
        <w:tc>
          <w:tcPr>
            <w:tcW w:w="5522" w:type="dxa"/>
            <w:vAlign w:val="center"/>
          </w:tcPr>
          <w:p w14:paraId="58EF6C3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《医疗器械经营监督管理办法》第十八条。</w:t>
            </w:r>
          </w:p>
        </w:tc>
      </w:tr>
      <w:tr w14:paraId="6A8AA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48" w:type="dxa"/>
            <w:vMerge w:val="continue"/>
            <w:vAlign w:val="center"/>
          </w:tcPr>
          <w:p w14:paraId="5C79A77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1868DEB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8</w:t>
            </w:r>
          </w:p>
        </w:tc>
        <w:tc>
          <w:tcPr>
            <w:tcW w:w="8511" w:type="dxa"/>
            <w:vAlign w:val="center"/>
          </w:tcPr>
          <w:p w14:paraId="59DECBE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医疗器械经营许可证遗失的，应当向原发证部门申请补发。补发的医疗器械经营许可证编号和有效期限与原许可证一致。</w:t>
            </w:r>
          </w:p>
        </w:tc>
        <w:tc>
          <w:tcPr>
            <w:tcW w:w="5522" w:type="dxa"/>
            <w:vAlign w:val="center"/>
          </w:tcPr>
          <w:p w14:paraId="199C90A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bookmarkStart w:id="4" w:name="OLE_LINK1"/>
            <w:r>
              <w:rPr>
                <w:rFonts w:hint="eastAsia" w:ascii="方正仿宋_GBK" w:hAnsi="方正仿宋_GBK" w:eastAsia="方正仿宋_GBK" w:cs="方正仿宋_GBK"/>
                <w:kern w:val="0"/>
                <w:sz w:val="18"/>
                <w:szCs w:val="18"/>
              </w:rPr>
              <w:t>《医疗器械经营监督管理办法》</w:t>
            </w:r>
            <w:bookmarkEnd w:id="4"/>
            <w:r>
              <w:rPr>
                <w:rFonts w:hint="eastAsia" w:ascii="方正仿宋_GBK" w:hAnsi="方正仿宋_GBK" w:eastAsia="方正仿宋_GBK" w:cs="方正仿宋_GBK"/>
                <w:kern w:val="0"/>
                <w:sz w:val="18"/>
                <w:szCs w:val="18"/>
              </w:rPr>
              <w:t>第十九条。</w:t>
            </w:r>
          </w:p>
        </w:tc>
      </w:tr>
      <w:tr w14:paraId="1F907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748" w:type="dxa"/>
            <w:vMerge w:val="continue"/>
            <w:vAlign w:val="center"/>
          </w:tcPr>
          <w:p w14:paraId="140D060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5A8E770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9</w:t>
            </w:r>
          </w:p>
        </w:tc>
        <w:tc>
          <w:tcPr>
            <w:tcW w:w="8511" w:type="dxa"/>
            <w:vAlign w:val="center"/>
          </w:tcPr>
          <w:p w14:paraId="29B7473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第二类医疗器械经营企业的经营场所、经营方式、经营范围、库房地址等发生变化的，应当及时进行备案变更。</w:t>
            </w:r>
          </w:p>
        </w:tc>
        <w:tc>
          <w:tcPr>
            <w:tcW w:w="5522" w:type="dxa"/>
            <w:vAlign w:val="center"/>
          </w:tcPr>
          <w:p w14:paraId="7ABC601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《医疗器械经营监督管理办法》第二十四条。</w:t>
            </w:r>
          </w:p>
        </w:tc>
      </w:tr>
      <w:tr w14:paraId="7E6C5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748" w:type="dxa"/>
            <w:vMerge w:val="restart"/>
            <w:vAlign w:val="center"/>
          </w:tcPr>
          <w:p w14:paraId="0493E78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kern w:val="0"/>
                <w:sz w:val="18"/>
                <w:szCs w:val="18"/>
              </w:rPr>
              <w:t>质量管理体系</w:t>
            </w:r>
          </w:p>
        </w:tc>
        <w:tc>
          <w:tcPr>
            <w:tcW w:w="770" w:type="dxa"/>
            <w:vAlign w:val="center"/>
          </w:tcPr>
          <w:p w14:paraId="4A6C1A1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10</w:t>
            </w:r>
          </w:p>
        </w:tc>
        <w:tc>
          <w:tcPr>
            <w:tcW w:w="8511" w:type="dxa"/>
            <w:vAlign w:val="center"/>
          </w:tcPr>
          <w:p w14:paraId="09F6C15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企业应当建立健全覆盖医疗器械经营全过程的质量管理体系。质量管理体系应当与企业的经营范围和经营规模相适应，包括质量管理体系文件、组织机构、人员、设施设备等。</w:t>
            </w:r>
          </w:p>
        </w:tc>
        <w:tc>
          <w:tcPr>
            <w:tcW w:w="5522" w:type="dxa"/>
            <w:vAlign w:val="center"/>
          </w:tcPr>
          <w:p w14:paraId="67E076A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《医疗器械经营质量管理规范》第九条。</w:t>
            </w:r>
          </w:p>
        </w:tc>
      </w:tr>
      <w:tr w14:paraId="5BBDF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48" w:type="dxa"/>
            <w:vMerge w:val="continue"/>
            <w:vAlign w:val="center"/>
          </w:tcPr>
          <w:p w14:paraId="47015E6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61D6462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11</w:t>
            </w:r>
          </w:p>
        </w:tc>
        <w:tc>
          <w:tcPr>
            <w:tcW w:w="8511" w:type="dxa"/>
            <w:vAlign w:val="center"/>
          </w:tcPr>
          <w:p w14:paraId="3910B0A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企业应当规范建立覆盖医疗器械经营全过程的质量管理体系文件。质量管理体系文件应当符合企业实际，并实施动态管理，确保文件持续有效。质量管理体系文件应当由企业负责人批准后实施。体系文件应该包括管理制度，经营质量记录等。</w:t>
            </w:r>
          </w:p>
        </w:tc>
        <w:tc>
          <w:tcPr>
            <w:tcW w:w="5522" w:type="dxa"/>
            <w:vAlign w:val="center"/>
          </w:tcPr>
          <w:p w14:paraId="1A3366A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《医疗器械经营质量管理规范》第二十条。</w:t>
            </w:r>
          </w:p>
        </w:tc>
      </w:tr>
      <w:tr w14:paraId="0BA28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48" w:type="dxa"/>
            <w:vMerge w:val="continue"/>
            <w:vAlign w:val="center"/>
          </w:tcPr>
          <w:p w14:paraId="5CA9C2C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013912A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12</w:t>
            </w:r>
          </w:p>
        </w:tc>
        <w:tc>
          <w:tcPr>
            <w:tcW w:w="8511" w:type="dxa"/>
            <w:vAlign w:val="center"/>
          </w:tcPr>
          <w:p w14:paraId="643D5C2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企业应当依法履行医疗器械质量安全责任，提供必要的资源和制度保障，保证质量管理体系有效运行，确保质量安全关键岗位人员有效履行职责、全员参与质量管理，各有关部门、岗位人员正确理解并履行职责，承担相应质量责任。</w:t>
            </w:r>
          </w:p>
        </w:tc>
        <w:tc>
          <w:tcPr>
            <w:tcW w:w="5522" w:type="dxa"/>
            <w:vAlign w:val="center"/>
          </w:tcPr>
          <w:p w14:paraId="7128F3F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《医疗器械经营质量管理规范》第十一条。</w:t>
            </w:r>
          </w:p>
        </w:tc>
      </w:tr>
      <w:tr w14:paraId="4F32F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748" w:type="dxa"/>
            <w:vMerge w:val="continue"/>
            <w:vAlign w:val="center"/>
          </w:tcPr>
          <w:p w14:paraId="711A63D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106406B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13</w:t>
            </w:r>
          </w:p>
        </w:tc>
        <w:tc>
          <w:tcPr>
            <w:tcW w:w="8511" w:type="dxa"/>
            <w:vAlign w:val="center"/>
          </w:tcPr>
          <w:p w14:paraId="0FB8D80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企业应当根据经营产品的风险程度、质量安全风险情况和质量管理自查情况等，运用质量</w:t>
            </w:r>
            <w:r>
              <w:rPr>
                <w:rFonts w:hint="eastAsia" w:ascii="方正仿宋_GBK" w:hAnsi="方正仿宋_GBK" w:eastAsia="方正仿宋_GBK" w:cs="方正仿宋_GBK"/>
                <w:spacing w:val="-2"/>
                <w:kern w:val="0"/>
                <w:sz w:val="18"/>
                <w:szCs w:val="18"/>
              </w:rPr>
              <w:t>管理技术与方法，持续改进质量管理体系，保持质量管理体系的适宜性、充分性和有效性。</w:t>
            </w:r>
          </w:p>
        </w:tc>
        <w:tc>
          <w:tcPr>
            <w:tcW w:w="5522" w:type="dxa"/>
            <w:vAlign w:val="center"/>
          </w:tcPr>
          <w:p w14:paraId="139B0BF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《医疗器械经营质量管理规范》第十三条。</w:t>
            </w:r>
          </w:p>
        </w:tc>
      </w:tr>
      <w:tr w14:paraId="783FE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jc w:val="center"/>
        </w:trPr>
        <w:tc>
          <w:tcPr>
            <w:tcW w:w="748" w:type="dxa"/>
            <w:vMerge w:val="continue"/>
            <w:vAlign w:val="center"/>
          </w:tcPr>
          <w:p w14:paraId="2538E93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1063B98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14</w:t>
            </w:r>
          </w:p>
        </w:tc>
        <w:tc>
          <w:tcPr>
            <w:tcW w:w="8511" w:type="dxa"/>
            <w:vAlign w:val="center"/>
          </w:tcPr>
          <w:p w14:paraId="0B8B5CD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企业负责人应当对本企业医疗器械质量安全工作全面负责，提供必要的条件，保证质量负责人、质量管理人员有效履行职责，确保企业按照相关法律、法规、规章和本规范要求经营医疗器械；企业负责人作出涉及医疗器械质量安全的重大决策前，应当充分听取质量负责人、质量管理人员的意见和建议，对其发现的本企业质量安全隐患，应当组织研究并提出处置措施，及时消除风险隐患。</w:t>
            </w:r>
          </w:p>
        </w:tc>
        <w:tc>
          <w:tcPr>
            <w:tcW w:w="5522" w:type="dxa"/>
            <w:vAlign w:val="center"/>
          </w:tcPr>
          <w:p w14:paraId="3F6CE4C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《医疗器械经营质量管理规范》第十六条。</w:t>
            </w:r>
          </w:p>
        </w:tc>
      </w:tr>
      <w:tr w14:paraId="1074A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748" w:type="dxa"/>
            <w:vMerge w:val="continue"/>
            <w:vAlign w:val="center"/>
          </w:tcPr>
          <w:p w14:paraId="2AE4F66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574AA27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15</w:t>
            </w:r>
          </w:p>
        </w:tc>
        <w:tc>
          <w:tcPr>
            <w:tcW w:w="8511" w:type="dxa"/>
            <w:vAlign w:val="center"/>
          </w:tcPr>
          <w:p w14:paraId="3223AA5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企业负责人应当每季度至少听取一次质量负责人工作情况汇报，对企业经营质量安全风险情况进行工作会商和总结，对重点工作作出调度安排，形成医疗器械质量安全风险会商会议纪要。会商会议应当有企业质量安全关键岗位人员以及质量安全风险情况涉及的相关部门参加。</w:t>
            </w:r>
          </w:p>
        </w:tc>
        <w:tc>
          <w:tcPr>
            <w:tcW w:w="5522" w:type="dxa"/>
            <w:vAlign w:val="center"/>
          </w:tcPr>
          <w:p w14:paraId="3275222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《医疗器械经营质量管理规范》第十七条。</w:t>
            </w:r>
          </w:p>
        </w:tc>
      </w:tr>
      <w:tr w14:paraId="6D5BD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748" w:type="dxa"/>
            <w:vMerge w:val="restart"/>
            <w:vAlign w:val="center"/>
          </w:tcPr>
          <w:p w14:paraId="5AD6281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kern w:val="0"/>
                <w:sz w:val="18"/>
                <w:szCs w:val="18"/>
              </w:rPr>
              <w:t>质量管理体系</w:t>
            </w:r>
          </w:p>
        </w:tc>
        <w:tc>
          <w:tcPr>
            <w:tcW w:w="770" w:type="dxa"/>
            <w:vAlign w:val="center"/>
          </w:tcPr>
          <w:p w14:paraId="202C2AF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16</w:t>
            </w:r>
          </w:p>
        </w:tc>
        <w:tc>
          <w:tcPr>
            <w:tcW w:w="8511" w:type="dxa"/>
            <w:vAlign w:val="center"/>
          </w:tcPr>
          <w:p w14:paraId="5848AA81">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企业质量负责人负责医疗器械质量管理工作，应当独立履行职责，在企业内部对医疗器械质量管理具有裁决权，承担相应的质量管理责任。</w:t>
            </w:r>
          </w:p>
        </w:tc>
        <w:tc>
          <w:tcPr>
            <w:tcW w:w="5522" w:type="dxa"/>
            <w:vAlign w:val="center"/>
          </w:tcPr>
          <w:p w14:paraId="5FF92F4D">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《医疗器械经营质量管理规范》第十八条。</w:t>
            </w:r>
          </w:p>
        </w:tc>
      </w:tr>
      <w:tr w14:paraId="19CBF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jc w:val="center"/>
        </w:trPr>
        <w:tc>
          <w:tcPr>
            <w:tcW w:w="748" w:type="dxa"/>
            <w:vMerge w:val="continue"/>
            <w:vAlign w:val="center"/>
          </w:tcPr>
          <w:p w14:paraId="363E981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67C475C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17</w:t>
            </w:r>
          </w:p>
        </w:tc>
        <w:tc>
          <w:tcPr>
            <w:tcW w:w="8511" w:type="dxa"/>
            <w:vAlign w:val="center"/>
          </w:tcPr>
          <w:p w14:paraId="65725D5C">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center"/>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医疗器械经营企业应当建立并实施产品追溯制度，保证产品可追溯。</w:t>
            </w:r>
          </w:p>
          <w:p w14:paraId="5A38CD90">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医疗器械经营企业应当按照国家有关规定执行医疗器械唯一标识制度。</w:t>
            </w:r>
          </w:p>
        </w:tc>
        <w:tc>
          <w:tcPr>
            <w:tcW w:w="5522" w:type="dxa"/>
            <w:vAlign w:val="center"/>
          </w:tcPr>
          <w:p w14:paraId="342D0246">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《医疗器械经营监督管理办法》第三十条。</w:t>
            </w:r>
          </w:p>
        </w:tc>
      </w:tr>
      <w:tr w14:paraId="5299A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jc w:val="center"/>
        </w:trPr>
        <w:tc>
          <w:tcPr>
            <w:tcW w:w="748" w:type="dxa"/>
            <w:vMerge w:val="restart"/>
            <w:vAlign w:val="center"/>
          </w:tcPr>
          <w:p w14:paraId="7350279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kern w:val="0"/>
                <w:sz w:val="18"/>
                <w:szCs w:val="18"/>
              </w:rPr>
              <w:t>经营场所与设施</w:t>
            </w:r>
          </w:p>
        </w:tc>
        <w:tc>
          <w:tcPr>
            <w:tcW w:w="770" w:type="dxa"/>
            <w:vAlign w:val="center"/>
          </w:tcPr>
          <w:p w14:paraId="6A68394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18</w:t>
            </w:r>
          </w:p>
        </w:tc>
        <w:tc>
          <w:tcPr>
            <w:tcW w:w="8511" w:type="dxa"/>
            <w:vAlign w:val="center"/>
          </w:tcPr>
          <w:p w14:paraId="0DDC0E0A">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企业应当具有与经营范围和经营规模相适应的经营场所和库房，经营场所和库房的面积应当满足经营与质量管理的要求。经营场所应当符合《医疗器械经营质量管理规范》中对经营场所与库房的要求。</w:t>
            </w:r>
          </w:p>
        </w:tc>
        <w:tc>
          <w:tcPr>
            <w:tcW w:w="5522" w:type="dxa"/>
            <w:vAlign w:val="center"/>
          </w:tcPr>
          <w:p w14:paraId="5CA678F5">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《医疗器械经营质量管理规范》第三十四条、第三十五条、第三十六条、第三十八条、第三十九条、第四十条、第四十一条、第四十二条、第四十四条。</w:t>
            </w:r>
          </w:p>
        </w:tc>
      </w:tr>
      <w:tr w14:paraId="2F73B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748" w:type="dxa"/>
            <w:vMerge w:val="continue"/>
            <w:vAlign w:val="center"/>
          </w:tcPr>
          <w:p w14:paraId="77634AB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6D6D97E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19</w:t>
            </w:r>
          </w:p>
        </w:tc>
        <w:tc>
          <w:tcPr>
            <w:tcW w:w="8511" w:type="dxa"/>
            <w:vAlign w:val="center"/>
          </w:tcPr>
          <w:p w14:paraId="56C159E9">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医疗器械零售的经营场所应当与其经营范围和经营规模相适应，并符合《医疗器械经营质量管理规范》中对零售场所的要求。</w:t>
            </w:r>
          </w:p>
        </w:tc>
        <w:tc>
          <w:tcPr>
            <w:tcW w:w="5522" w:type="dxa"/>
            <w:vAlign w:val="center"/>
          </w:tcPr>
          <w:p w14:paraId="75AD11F9">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《医疗器械经营质量管理规范》第四十五条。</w:t>
            </w:r>
          </w:p>
        </w:tc>
      </w:tr>
      <w:tr w14:paraId="238DD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748" w:type="dxa"/>
            <w:vMerge w:val="continue"/>
            <w:vAlign w:val="center"/>
          </w:tcPr>
          <w:p w14:paraId="7C02FE3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bCs/>
                <w:sz w:val="18"/>
                <w:szCs w:val="18"/>
              </w:rPr>
            </w:pPr>
          </w:p>
        </w:tc>
        <w:tc>
          <w:tcPr>
            <w:tcW w:w="770" w:type="dxa"/>
            <w:vAlign w:val="center"/>
          </w:tcPr>
          <w:p w14:paraId="4625C82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20</w:t>
            </w:r>
          </w:p>
        </w:tc>
        <w:tc>
          <w:tcPr>
            <w:tcW w:w="8511" w:type="dxa"/>
            <w:vAlign w:val="center"/>
          </w:tcPr>
          <w:p w14:paraId="17530D3C">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自动售械机作为医疗器械零售经营场所的延伸，其设置位置、数量等应当与企业的管理能力相适应。并符合《医疗器械经营质量管理规范》中对自动售械机的要求。</w:t>
            </w:r>
          </w:p>
        </w:tc>
        <w:tc>
          <w:tcPr>
            <w:tcW w:w="5522" w:type="dxa"/>
            <w:vAlign w:val="center"/>
          </w:tcPr>
          <w:p w14:paraId="451DEFD0">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《医疗器械经营质量管理规范》第四十七条。</w:t>
            </w:r>
          </w:p>
        </w:tc>
      </w:tr>
      <w:tr w14:paraId="1BED2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748" w:type="dxa"/>
            <w:vMerge w:val="continue"/>
            <w:vAlign w:val="center"/>
          </w:tcPr>
          <w:p w14:paraId="2318599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2DA1F1C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21</w:t>
            </w:r>
          </w:p>
        </w:tc>
        <w:tc>
          <w:tcPr>
            <w:tcW w:w="8511" w:type="dxa"/>
            <w:vAlign w:val="center"/>
          </w:tcPr>
          <w:p w14:paraId="6127ACAF">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经营第三类医疗器械的企业，应当具有符合医疗器械经营质量管理要求的计算机信息系统，保证经营的产品可追溯。计算机信息系统应当符合《医疗器械经营质量管理规范》中有关计算机系统的要求。</w:t>
            </w:r>
          </w:p>
        </w:tc>
        <w:tc>
          <w:tcPr>
            <w:tcW w:w="5522" w:type="dxa"/>
            <w:vAlign w:val="center"/>
          </w:tcPr>
          <w:p w14:paraId="2C27D034">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《医疗器械经管质量管理规范》第五十一条。</w:t>
            </w:r>
          </w:p>
        </w:tc>
      </w:tr>
      <w:tr w14:paraId="2BB36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748" w:type="dxa"/>
            <w:vMerge w:val="restart"/>
            <w:vAlign w:val="center"/>
          </w:tcPr>
          <w:p w14:paraId="372B722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kern w:val="0"/>
                <w:sz w:val="18"/>
                <w:szCs w:val="18"/>
              </w:rPr>
              <w:t>人员管理</w:t>
            </w:r>
          </w:p>
        </w:tc>
        <w:tc>
          <w:tcPr>
            <w:tcW w:w="770" w:type="dxa"/>
            <w:vAlign w:val="center"/>
          </w:tcPr>
          <w:p w14:paraId="59E0247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22</w:t>
            </w:r>
          </w:p>
        </w:tc>
        <w:tc>
          <w:tcPr>
            <w:tcW w:w="8511" w:type="dxa"/>
            <w:vAlign w:val="center"/>
          </w:tcPr>
          <w:p w14:paraId="23A89A5C">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应当具有《医疗器械经营质量管理规范》中规定的与经营范围和经营规模相适应的质量管理机构或者质量管理人员。</w:t>
            </w:r>
          </w:p>
        </w:tc>
        <w:tc>
          <w:tcPr>
            <w:tcW w:w="5522" w:type="dxa"/>
            <w:vAlign w:val="center"/>
          </w:tcPr>
          <w:p w14:paraId="2575A540">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《医疗器械经营质量管理规范》第二十四条、第二十五条、第二十六条、第二十七条、第二十八、第二十九条。</w:t>
            </w:r>
          </w:p>
        </w:tc>
      </w:tr>
      <w:tr w14:paraId="670D1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748" w:type="dxa"/>
            <w:vMerge w:val="continue"/>
            <w:vAlign w:val="center"/>
          </w:tcPr>
          <w:p w14:paraId="54B6FA6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56472E5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23</w:t>
            </w:r>
          </w:p>
        </w:tc>
        <w:tc>
          <w:tcPr>
            <w:tcW w:w="8511" w:type="dxa"/>
            <w:vAlign w:val="center"/>
          </w:tcPr>
          <w:p w14:paraId="255B1000">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经营企业质量安全关键岗位人员包括企业负责人、质量负责人和质量管理人员。其中企业负责人为最高管理者，质量负责人为高层管理人员或者质量管理机构负责人。</w:t>
            </w:r>
          </w:p>
        </w:tc>
        <w:tc>
          <w:tcPr>
            <w:tcW w:w="5522" w:type="dxa"/>
            <w:vAlign w:val="center"/>
          </w:tcPr>
          <w:p w14:paraId="3CB5074F">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《企业落实医疗器械质量安全主体责任监督管理规定》第十一条。</w:t>
            </w:r>
          </w:p>
        </w:tc>
      </w:tr>
      <w:tr w14:paraId="5661E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5" w:hRule="atLeast"/>
          <w:jc w:val="center"/>
        </w:trPr>
        <w:tc>
          <w:tcPr>
            <w:tcW w:w="748" w:type="dxa"/>
            <w:vMerge w:val="restart"/>
            <w:vAlign w:val="center"/>
          </w:tcPr>
          <w:p w14:paraId="274C025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kern w:val="0"/>
                <w:sz w:val="18"/>
                <w:szCs w:val="18"/>
              </w:rPr>
              <w:t>人员管理</w:t>
            </w:r>
          </w:p>
        </w:tc>
        <w:tc>
          <w:tcPr>
            <w:tcW w:w="770" w:type="dxa"/>
            <w:vAlign w:val="center"/>
          </w:tcPr>
          <w:p w14:paraId="51C6EA8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24</w:t>
            </w:r>
          </w:p>
        </w:tc>
        <w:tc>
          <w:tcPr>
            <w:tcW w:w="8511" w:type="dxa"/>
            <w:vAlign w:val="center"/>
          </w:tcPr>
          <w:p w14:paraId="445BFF0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经营企业负责人应当对本企业医疗器械质量安全工作全面负责，提供必要的条件，保证质量负责人、质量管理人员有效履行职责，确保企业按照相关法律、法规、规章、经营质量管理规范要求经营医疗器械；作出涉及医疗器械质量安全的重大决策前，应当充分听取质量负责人、质量管理人员的意见和建议，对其发现的本企业质量安全隐患，应当组织研究并提出处置措施，及时消除风险隐患。</w:t>
            </w:r>
          </w:p>
        </w:tc>
        <w:tc>
          <w:tcPr>
            <w:tcW w:w="5522" w:type="dxa"/>
            <w:vAlign w:val="center"/>
          </w:tcPr>
          <w:p w14:paraId="12EC470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《企业落实医疗器械质量安全主体责任监督管理规定》第十二条。</w:t>
            </w:r>
          </w:p>
        </w:tc>
      </w:tr>
      <w:tr w14:paraId="1C8B6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748" w:type="dxa"/>
            <w:vMerge w:val="continue"/>
            <w:vAlign w:val="center"/>
          </w:tcPr>
          <w:p w14:paraId="1EFC40D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4067A53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25</w:t>
            </w:r>
          </w:p>
        </w:tc>
        <w:tc>
          <w:tcPr>
            <w:tcW w:w="8511" w:type="dxa"/>
            <w:vAlign w:val="center"/>
          </w:tcPr>
          <w:p w14:paraId="2FF85FD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经营企业质量负责人负责医疗器械质量管理工作，应当独立履行职责，在企业内部对医疗器械质量管理具有裁决权，承担相应的质量管理责任。</w:t>
            </w:r>
          </w:p>
        </w:tc>
        <w:tc>
          <w:tcPr>
            <w:tcW w:w="5522" w:type="dxa"/>
            <w:vAlign w:val="center"/>
          </w:tcPr>
          <w:p w14:paraId="53010DE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《企业落实医疗器械质量安全主体责任监督管理规定》第十三条。</w:t>
            </w:r>
          </w:p>
        </w:tc>
      </w:tr>
      <w:tr w14:paraId="3ED98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748" w:type="dxa"/>
            <w:vMerge w:val="continue"/>
            <w:vAlign w:val="center"/>
          </w:tcPr>
          <w:p w14:paraId="28268BD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123BE97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26</w:t>
            </w:r>
          </w:p>
        </w:tc>
        <w:tc>
          <w:tcPr>
            <w:tcW w:w="8511" w:type="dxa"/>
            <w:vAlign w:val="center"/>
          </w:tcPr>
          <w:p w14:paraId="5B43511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第三类医疗器械经营企业质量负责人应当具有医疗器械相关专业大专及以上学历或者中级及以上专业技术职称，并具有3年及以上医疗器械经营质量管理工作经历。</w:t>
            </w:r>
          </w:p>
        </w:tc>
        <w:tc>
          <w:tcPr>
            <w:tcW w:w="5522" w:type="dxa"/>
            <w:vAlign w:val="center"/>
          </w:tcPr>
          <w:p w14:paraId="4EC365A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《企业落实医疗器械质量安全主体责任监督管理规定》第十四条。</w:t>
            </w:r>
          </w:p>
        </w:tc>
      </w:tr>
      <w:tr w14:paraId="46F7D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6" w:hRule="atLeast"/>
          <w:jc w:val="center"/>
        </w:trPr>
        <w:tc>
          <w:tcPr>
            <w:tcW w:w="748" w:type="dxa"/>
            <w:vMerge w:val="continue"/>
            <w:vAlign w:val="center"/>
          </w:tcPr>
          <w:p w14:paraId="4AFDA02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33A054E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27</w:t>
            </w:r>
          </w:p>
        </w:tc>
        <w:tc>
          <w:tcPr>
            <w:tcW w:w="8511" w:type="dxa"/>
            <w:vAlign w:val="center"/>
          </w:tcPr>
          <w:p w14:paraId="287BE12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经营企业应当配备与经营范围和经营规模相适应的质量管理人员，质量管理人员应当具有相关专业学历和职称，并履行医疗器械经营质量管理规范规定的职责。体外诊断试剂经营企业质量管理人员中，应当至少有1人具有主管检验师职称；或者具有检验学相关专业（包括检验学、生物医学工程、生物化学、免疫学、基因学、药学、生物技术、临床医学、医疗器械等专业）大专及以上学历或者中级以上专业技术职称，并具有检验相关工作3年及以上工作经历。</w:t>
            </w:r>
          </w:p>
        </w:tc>
        <w:tc>
          <w:tcPr>
            <w:tcW w:w="5522" w:type="dxa"/>
            <w:vAlign w:val="center"/>
          </w:tcPr>
          <w:p w14:paraId="299D8B9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《企业落实医疗器械质量安全主体责任监督管理规定》第十五条。</w:t>
            </w:r>
          </w:p>
        </w:tc>
      </w:tr>
      <w:tr w14:paraId="7DFF9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748" w:type="dxa"/>
            <w:vMerge w:val="continue"/>
            <w:vAlign w:val="center"/>
          </w:tcPr>
          <w:p w14:paraId="4583F7E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3EB21C8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28</w:t>
            </w:r>
          </w:p>
        </w:tc>
        <w:tc>
          <w:tcPr>
            <w:tcW w:w="8511" w:type="dxa"/>
            <w:vAlign w:val="center"/>
          </w:tcPr>
          <w:p w14:paraId="3172032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专门提供医疗器械运输、贮存服务企业的质量管理人员中，应当至少有2人具有大专及以</w:t>
            </w:r>
            <w:r>
              <w:rPr>
                <w:rFonts w:hint="eastAsia" w:ascii="方正仿宋_GBK" w:hAnsi="方正仿宋_GBK" w:eastAsia="方正仿宋_GBK" w:cs="方正仿宋_GBK"/>
                <w:spacing w:val="-4"/>
                <w:kern w:val="0"/>
                <w:sz w:val="18"/>
                <w:szCs w:val="18"/>
              </w:rPr>
              <w:t>上学历或者中级及以上专业技术职称，同时应当具有3年及以上医疗器械质量管理工作经历。</w:t>
            </w:r>
          </w:p>
        </w:tc>
        <w:tc>
          <w:tcPr>
            <w:tcW w:w="5522" w:type="dxa"/>
            <w:vAlign w:val="center"/>
          </w:tcPr>
          <w:p w14:paraId="5B8F2D0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《企业落实医疗器械质量安全主体责任监督管理规定》第十六条。</w:t>
            </w:r>
          </w:p>
        </w:tc>
      </w:tr>
      <w:tr w14:paraId="7E3C9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748" w:type="dxa"/>
            <w:vMerge w:val="continue"/>
            <w:vAlign w:val="center"/>
          </w:tcPr>
          <w:p w14:paraId="7065B98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24F5DAF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29</w:t>
            </w:r>
          </w:p>
        </w:tc>
        <w:tc>
          <w:tcPr>
            <w:tcW w:w="8511" w:type="dxa"/>
            <w:vAlign w:val="center"/>
          </w:tcPr>
          <w:p w14:paraId="23320B9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质量安全关键岗位人员应当充分履行岗位职责，保持质量管理体系持续有效运行，保证医疗器械生产和经营全过程持续符合医疗器械生产、经营质量管理规范要求。</w:t>
            </w:r>
          </w:p>
        </w:tc>
        <w:tc>
          <w:tcPr>
            <w:tcW w:w="5522" w:type="dxa"/>
            <w:vAlign w:val="center"/>
          </w:tcPr>
          <w:p w14:paraId="010A3CC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《企业落实医疗器械质量安全主体责任监督管理规定》第十六条。</w:t>
            </w:r>
          </w:p>
        </w:tc>
      </w:tr>
      <w:tr w14:paraId="2D41F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748" w:type="dxa"/>
            <w:vMerge w:val="restart"/>
            <w:vAlign w:val="center"/>
          </w:tcPr>
          <w:p w14:paraId="1B4E530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kern w:val="0"/>
                <w:sz w:val="18"/>
                <w:szCs w:val="18"/>
              </w:rPr>
              <w:t>人员管理</w:t>
            </w:r>
          </w:p>
        </w:tc>
        <w:tc>
          <w:tcPr>
            <w:tcW w:w="770" w:type="dxa"/>
            <w:vAlign w:val="center"/>
          </w:tcPr>
          <w:p w14:paraId="67DE6E7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30</w:t>
            </w:r>
          </w:p>
        </w:tc>
        <w:tc>
          <w:tcPr>
            <w:tcW w:w="8511" w:type="dxa"/>
            <w:vAlign w:val="center"/>
          </w:tcPr>
          <w:p w14:paraId="37DBC1E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应当加强对销售人员的培训和管理，对销售人员以本企业名义从事的医疗器械购销行为承担法律责任。</w:t>
            </w:r>
          </w:p>
        </w:tc>
        <w:tc>
          <w:tcPr>
            <w:tcW w:w="5522" w:type="dxa"/>
            <w:vAlign w:val="center"/>
          </w:tcPr>
          <w:p w14:paraId="1AEBFC3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《医疗器械经营监督管理办法》第三十七条。</w:t>
            </w:r>
          </w:p>
        </w:tc>
      </w:tr>
      <w:tr w14:paraId="5E8EF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748" w:type="dxa"/>
            <w:vMerge w:val="continue"/>
            <w:vAlign w:val="center"/>
          </w:tcPr>
          <w:p w14:paraId="5093AE4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73B2177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31</w:t>
            </w:r>
          </w:p>
        </w:tc>
        <w:tc>
          <w:tcPr>
            <w:tcW w:w="8511" w:type="dxa"/>
            <w:vAlign w:val="center"/>
          </w:tcPr>
          <w:p w14:paraId="4CBC3E8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企业应当对质量安全关键岗位人员及其他相关岗位人员进行与其职责和工作内容相关的岗前和继续培训，并建立培训记录，培训内容应当包括相关法律、法规、规章、规范、质量管理制度、医疗器械专业知识和技能、职责、岗位操作规程等，使相关人员能够正确理解并履行职责。</w:t>
            </w:r>
          </w:p>
        </w:tc>
        <w:tc>
          <w:tcPr>
            <w:tcW w:w="5522" w:type="dxa"/>
            <w:vAlign w:val="center"/>
          </w:tcPr>
          <w:p w14:paraId="000816D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《医疗器械经管质量管理规范》第三十条、第三十一条。</w:t>
            </w:r>
          </w:p>
        </w:tc>
      </w:tr>
      <w:tr w14:paraId="49F33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jc w:val="center"/>
        </w:trPr>
        <w:tc>
          <w:tcPr>
            <w:tcW w:w="748" w:type="dxa"/>
            <w:vMerge w:val="continue"/>
            <w:vAlign w:val="center"/>
          </w:tcPr>
          <w:p w14:paraId="60C249D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69A0D1D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32</w:t>
            </w:r>
          </w:p>
        </w:tc>
        <w:tc>
          <w:tcPr>
            <w:tcW w:w="8511" w:type="dxa"/>
            <w:vAlign w:val="center"/>
          </w:tcPr>
          <w:p w14:paraId="0A8CF50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企业应当按照人员健康管理制度的要求，对质量管理、验收、库房管理、售后技术服务、零售等直接接触医疗器械岗位的人员进行健康管理，实施岗前和年度健康检查，并建立员工健康档案。身体条件不符合相应岗位特定要求、影响质量判定或者医疗器械质量安全的，不得从事相关工作。</w:t>
            </w:r>
          </w:p>
        </w:tc>
        <w:tc>
          <w:tcPr>
            <w:tcW w:w="5522" w:type="dxa"/>
            <w:vAlign w:val="center"/>
          </w:tcPr>
          <w:p w14:paraId="3CA95DD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《医疗器械经管质量管理规范》第三十三条。</w:t>
            </w:r>
          </w:p>
        </w:tc>
      </w:tr>
      <w:tr w14:paraId="6DC6E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748" w:type="dxa"/>
            <w:vMerge w:val="continue"/>
            <w:vAlign w:val="center"/>
          </w:tcPr>
          <w:p w14:paraId="10263A1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2439C1C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33</w:t>
            </w:r>
          </w:p>
        </w:tc>
        <w:tc>
          <w:tcPr>
            <w:tcW w:w="8511" w:type="dxa"/>
            <w:vAlign w:val="center"/>
          </w:tcPr>
          <w:p w14:paraId="39ADED9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经营企业应当制定质量安全关键岗位说明书，明确质量安全关键岗位人员主要职责，并规定管理者代表、质量负责人、质量管理部门负责人的任职条件和所需权限。</w:t>
            </w:r>
          </w:p>
        </w:tc>
        <w:tc>
          <w:tcPr>
            <w:tcW w:w="5522" w:type="dxa"/>
            <w:vAlign w:val="center"/>
          </w:tcPr>
          <w:p w14:paraId="2818E17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《企业落实医疗器械质量安全主体责任监督管理规定》第二十四条。</w:t>
            </w:r>
          </w:p>
        </w:tc>
      </w:tr>
      <w:tr w14:paraId="71042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jc w:val="center"/>
        </w:trPr>
        <w:tc>
          <w:tcPr>
            <w:tcW w:w="748" w:type="dxa"/>
            <w:vMerge w:val="continue"/>
            <w:vAlign w:val="center"/>
          </w:tcPr>
          <w:p w14:paraId="3284534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3176230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34</w:t>
            </w:r>
          </w:p>
        </w:tc>
        <w:tc>
          <w:tcPr>
            <w:tcW w:w="8511" w:type="dxa"/>
            <w:vAlign w:val="center"/>
          </w:tcPr>
          <w:p w14:paraId="3836A6D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经营企业应当按照质量管理体系要求，对质量安全关键岗位人员进行与其职责和工作内容相关的岗前培训和继续教育，建立培训记录。培训内容应当包括相关法律法规、医疗器械专业知识及技能、质量管理制度等。</w:t>
            </w:r>
          </w:p>
        </w:tc>
        <w:tc>
          <w:tcPr>
            <w:tcW w:w="5522" w:type="dxa"/>
            <w:vAlign w:val="center"/>
          </w:tcPr>
          <w:p w14:paraId="7B860D3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《企业落实医疗器械质量安全主体责任监督管理规定》第二十五条。</w:t>
            </w:r>
          </w:p>
        </w:tc>
      </w:tr>
      <w:tr w14:paraId="1B2FF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748" w:type="dxa"/>
            <w:vMerge w:val="continue"/>
            <w:vAlign w:val="center"/>
          </w:tcPr>
          <w:p w14:paraId="0E15B24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631D4F6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35</w:t>
            </w:r>
          </w:p>
        </w:tc>
        <w:tc>
          <w:tcPr>
            <w:tcW w:w="8511" w:type="dxa"/>
            <w:vAlign w:val="center"/>
          </w:tcPr>
          <w:p w14:paraId="723FF35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质量管理部门负责人和经营企业质量负责人、质量管理人员应当在职在岗，并履行岗位职责。</w:t>
            </w:r>
          </w:p>
        </w:tc>
        <w:tc>
          <w:tcPr>
            <w:tcW w:w="5522" w:type="dxa"/>
            <w:vAlign w:val="center"/>
          </w:tcPr>
          <w:p w14:paraId="0314CE9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《企业落实医疗器械质量安全主体责任监督管理规定》第二十六条。</w:t>
            </w:r>
          </w:p>
        </w:tc>
      </w:tr>
      <w:tr w14:paraId="5B1DA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48" w:type="dxa"/>
            <w:vMerge w:val="continue"/>
            <w:vAlign w:val="center"/>
          </w:tcPr>
          <w:p w14:paraId="2B9CECB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7C2AA71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36</w:t>
            </w:r>
          </w:p>
        </w:tc>
        <w:tc>
          <w:tcPr>
            <w:tcW w:w="8511" w:type="dxa"/>
            <w:vAlign w:val="center"/>
          </w:tcPr>
          <w:p w14:paraId="34D5AA8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质量管理部门负责人和经营企业质量负责人、质量管理人员发现有医疗器械质量安全潜在风险，应当立即按程序报告。企业应当依法及时采取风险控制措施，相关报告情况应当予以记录并保存。</w:t>
            </w:r>
          </w:p>
        </w:tc>
        <w:tc>
          <w:tcPr>
            <w:tcW w:w="5522" w:type="dxa"/>
            <w:vAlign w:val="center"/>
          </w:tcPr>
          <w:p w14:paraId="0BD9045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《企业落实医疗器械质量安全主体责任监督管理规定》第二十七条。</w:t>
            </w:r>
          </w:p>
        </w:tc>
      </w:tr>
      <w:tr w14:paraId="47D3F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8" w:hRule="atLeast"/>
          <w:jc w:val="center"/>
        </w:trPr>
        <w:tc>
          <w:tcPr>
            <w:tcW w:w="748" w:type="dxa"/>
            <w:vMerge w:val="restart"/>
            <w:vAlign w:val="center"/>
          </w:tcPr>
          <w:p w14:paraId="2B167D7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kern w:val="0"/>
                <w:sz w:val="18"/>
                <w:szCs w:val="18"/>
              </w:rPr>
              <w:t>经营质量管理</w:t>
            </w:r>
          </w:p>
        </w:tc>
        <w:tc>
          <w:tcPr>
            <w:tcW w:w="770" w:type="dxa"/>
            <w:vAlign w:val="center"/>
          </w:tcPr>
          <w:p w14:paraId="44926AB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37</w:t>
            </w:r>
          </w:p>
        </w:tc>
        <w:tc>
          <w:tcPr>
            <w:tcW w:w="8511" w:type="dxa"/>
            <w:vAlign w:val="center"/>
          </w:tcPr>
          <w:p w14:paraId="689B025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企业应当从具备合法资质的医疗器械注册人、备案人、生产经营企业购进医疗器械。购进医疗器械时，应当查验供货者的资质和医疗器械的合格证明文件，建立进货查验记录制度。从事第二类、第三类医疗器械批发业务以及第三类医疗器械零售业务的经营企业，还应当建立销售记录制度。</w:t>
            </w:r>
          </w:p>
        </w:tc>
        <w:tc>
          <w:tcPr>
            <w:tcW w:w="5522" w:type="dxa"/>
            <w:vAlign w:val="center"/>
          </w:tcPr>
          <w:p w14:paraId="3930824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《医疗器械监督管理条例》第四十五条；《医疗器械经营监督管理办法》第三十一条，条三十二条。</w:t>
            </w:r>
          </w:p>
        </w:tc>
      </w:tr>
      <w:tr w14:paraId="63FB1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5" w:hRule="atLeast"/>
          <w:jc w:val="center"/>
        </w:trPr>
        <w:tc>
          <w:tcPr>
            <w:tcW w:w="748" w:type="dxa"/>
            <w:vMerge w:val="continue"/>
            <w:vAlign w:val="center"/>
          </w:tcPr>
          <w:p w14:paraId="34A7E7B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69696CD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38</w:t>
            </w:r>
          </w:p>
        </w:tc>
        <w:tc>
          <w:tcPr>
            <w:tcW w:w="8511" w:type="dxa"/>
            <w:vAlign w:val="center"/>
          </w:tcPr>
          <w:p w14:paraId="104DE70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从事医疗器械经营，应当按照法律法规和医疗器械经营质量管理规范的要求，建立覆盖采购、验收、贮存、销售、运输、售后服务等全过程的质量管理制度和质量控制措施，并做好相关记录，保证经营条件和经营活动持续符合要求。各项记录应当符合《医疗器械经营质量管理规范》中有关记录的要求。</w:t>
            </w:r>
          </w:p>
        </w:tc>
        <w:tc>
          <w:tcPr>
            <w:tcW w:w="5522" w:type="dxa"/>
            <w:vAlign w:val="center"/>
          </w:tcPr>
          <w:p w14:paraId="2A9AFA8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《医疗器械经营监督管理办法》第二十九条、第三十二条、第三十三条、第三十八条。</w:t>
            </w:r>
          </w:p>
        </w:tc>
      </w:tr>
      <w:tr w14:paraId="34100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jc w:val="center"/>
        </w:trPr>
        <w:tc>
          <w:tcPr>
            <w:tcW w:w="748" w:type="dxa"/>
            <w:vMerge w:val="continue"/>
            <w:vAlign w:val="center"/>
          </w:tcPr>
          <w:p w14:paraId="7EC5C59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247B9DC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39</w:t>
            </w:r>
          </w:p>
        </w:tc>
        <w:tc>
          <w:tcPr>
            <w:tcW w:w="8511" w:type="dxa"/>
            <w:vAlign w:val="center"/>
          </w:tcPr>
          <w:p w14:paraId="0E4E5B5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企业应当采取有效措施，确保医疗器械运输、贮存符合医疗器械说明书或者标签标示要求，并做好相应记录。对温度、湿度等环境条件有特殊要求的，应当采取相应措施，保证医疗器械的安全、有效。</w:t>
            </w:r>
          </w:p>
        </w:tc>
        <w:tc>
          <w:tcPr>
            <w:tcW w:w="5522" w:type="dxa"/>
            <w:vAlign w:val="center"/>
          </w:tcPr>
          <w:p w14:paraId="151CC2A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《医疗器械经营监督管理办法》第三十三条。</w:t>
            </w:r>
          </w:p>
        </w:tc>
      </w:tr>
      <w:tr w14:paraId="062A6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748" w:type="dxa"/>
            <w:vMerge w:val="continue"/>
            <w:vAlign w:val="center"/>
          </w:tcPr>
          <w:p w14:paraId="3618D31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58F3DA5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40</w:t>
            </w:r>
          </w:p>
        </w:tc>
        <w:tc>
          <w:tcPr>
            <w:tcW w:w="8511" w:type="dxa"/>
            <w:vAlign w:val="center"/>
          </w:tcPr>
          <w:p w14:paraId="2BA2416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经营企业委托其他单位运输、贮存医疗器械的，应当对受托方运输、贮存医疗器械的质量保障能力进行评估，并与其签订委托协议，明确运输、贮存过程中的质量责任，确保运输、贮存过程中的质量安全。</w:t>
            </w:r>
          </w:p>
        </w:tc>
        <w:tc>
          <w:tcPr>
            <w:tcW w:w="5522" w:type="dxa"/>
            <w:vAlign w:val="center"/>
          </w:tcPr>
          <w:p w14:paraId="57BC3FE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《医疗器械经营监督管理办法》第三十四条。</w:t>
            </w:r>
          </w:p>
        </w:tc>
      </w:tr>
      <w:tr w14:paraId="2387C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jc w:val="center"/>
        </w:trPr>
        <w:tc>
          <w:tcPr>
            <w:tcW w:w="748" w:type="dxa"/>
            <w:vMerge w:val="continue"/>
            <w:vAlign w:val="center"/>
          </w:tcPr>
          <w:p w14:paraId="24E0BEA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569B81A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41</w:t>
            </w:r>
          </w:p>
        </w:tc>
        <w:tc>
          <w:tcPr>
            <w:tcW w:w="8511" w:type="dxa"/>
            <w:vAlign w:val="center"/>
          </w:tcPr>
          <w:p w14:paraId="0C8522A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企业应当提供售后服务。约定由供货者或者其他机构提供售后服务的，经营企业应当加强管理，保证医疗器械售后的安全使用。医疗器械经营企业应当配备专职或者兼职人员负责售后管理，对客户投诉的质量问题应当查明原因，采取有效措施及时处理和反馈，并做好记录，必要时及时通知医疗器械注册人、备案人、生产经营企业。</w:t>
            </w:r>
          </w:p>
        </w:tc>
        <w:tc>
          <w:tcPr>
            <w:tcW w:w="5522" w:type="dxa"/>
            <w:vAlign w:val="center"/>
          </w:tcPr>
          <w:p w14:paraId="085AB55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《医疗器械经营监督管理办法》第三十九条、第四十条。</w:t>
            </w:r>
          </w:p>
        </w:tc>
      </w:tr>
      <w:tr w14:paraId="47D98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7" w:hRule="atLeast"/>
          <w:jc w:val="center"/>
        </w:trPr>
        <w:tc>
          <w:tcPr>
            <w:tcW w:w="748" w:type="dxa"/>
            <w:vMerge w:val="restart"/>
            <w:vAlign w:val="center"/>
          </w:tcPr>
          <w:p w14:paraId="6E96CB9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kern w:val="0"/>
                <w:sz w:val="18"/>
                <w:szCs w:val="18"/>
              </w:rPr>
              <w:t>经营质量管理</w:t>
            </w:r>
          </w:p>
        </w:tc>
        <w:tc>
          <w:tcPr>
            <w:tcW w:w="770" w:type="dxa"/>
            <w:vAlign w:val="center"/>
          </w:tcPr>
          <w:p w14:paraId="736CCBA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42</w:t>
            </w:r>
          </w:p>
        </w:tc>
        <w:tc>
          <w:tcPr>
            <w:tcW w:w="8511" w:type="dxa"/>
            <w:vAlign w:val="center"/>
          </w:tcPr>
          <w:p w14:paraId="68CC722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医疗器械经营企业发现其经营的医疗器械不符合强制性标准、经注册或者备案的产品技术要求，或者存在其他缺陷的，应当立即停止经营，通知医疗器械注册人、备案人等有关单</w:t>
            </w:r>
            <w:r>
              <w:rPr>
                <w:rFonts w:hint="eastAsia" w:ascii="方正仿宋_GBK" w:hAnsi="方正仿宋_GBK" w:eastAsia="方正仿宋_GBK" w:cs="方正仿宋_GBK"/>
                <w:spacing w:val="-4"/>
                <w:kern w:val="0"/>
                <w:sz w:val="18"/>
                <w:szCs w:val="18"/>
              </w:rPr>
              <w:t>位，并记录停止经营和通知情况。医疗器械注册人、备案人认为需要召回的，应当立即召回。</w:t>
            </w:r>
          </w:p>
        </w:tc>
        <w:tc>
          <w:tcPr>
            <w:tcW w:w="5522" w:type="dxa"/>
            <w:vAlign w:val="center"/>
          </w:tcPr>
          <w:p w14:paraId="4CF024C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《医疗器械经营监督管理办法》第四十二条。</w:t>
            </w:r>
          </w:p>
        </w:tc>
      </w:tr>
      <w:tr w14:paraId="14A65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jc w:val="center"/>
        </w:trPr>
        <w:tc>
          <w:tcPr>
            <w:tcW w:w="748" w:type="dxa"/>
            <w:vMerge w:val="continue"/>
            <w:vAlign w:val="center"/>
          </w:tcPr>
          <w:p w14:paraId="221737D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0FE2933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43</w:t>
            </w:r>
          </w:p>
        </w:tc>
        <w:tc>
          <w:tcPr>
            <w:tcW w:w="8511" w:type="dxa"/>
            <w:vAlign w:val="center"/>
          </w:tcPr>
          <w:p w14:paraId="7CC5A3C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第三类医疗器械经营企业停业一年以上，恢复经营前，应当进行必要的验证和确认，并书面报告所在地区县（自治县）负责药品监督管理的部门。</w:t>
            </w:r>
          </w:p>
          <w:p w14:paraId="55F62DB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经营企业经营条件发生重大变化，不再符合医疗器械经营质量管理体系要求的，应当立即采取整改措施，可能影响医疗器械安全、有效性的，应当立即停止经营活动并向原经营许可证或备案部门报告。</w:t>
            </w:r>
          </w:p>
        </w:tc>
        <w:tc>
          <w:tcPr>
            <w:tcW w:w="5522" w:type="dxa"/>
            <w:vAlign w:val="center"/>
          </w:tcPr>
          <w:p w14:paraId="239A318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《医疗器械经营监督管理办法》第四十三条。</w:t>
            </w:r>
          </w:p>
        </w:tc>
      </w:tr>
      <w:tr w14:paraId="32FF1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jc w:val="center"/>
        </w:trPr>
        <w:tc>
          <w:tcPr>
            <w:tcW w:w="748" w:type="dxa"/>
            <w:vMerge w:val="continue"/>
            <w:vAlign w:val="center"/>
          </w:tcPr>
          <w:p w14:paraId="33A0A44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70F9956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44</w:t>
            </w:r>
          </w:p>
        </w:tc>
        <w:tc>
          <w:tcPr>
            <w:tcW w:w="8511" w:type="dxa"/>
            <w:vAlign w:val="center"/>
          </w:tcPr>
          <w:p w14:paraId="6D08333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医疗器械经营企业应当建立质量管理自查制度，按照医疗器械经营质量管理规范要求进行自查，每年3月31日前向所在地区县（自治县）负责药品监督管理的部门提交上一年度的自查报告。</w:t>
            </w:r>
          </w:p>
        </w:tc>
        <w:tc>
          <w:tcPr>
            <w:tcW w:w="5522" w:type="dxa"/>
            <w:vAlign w:val="center"/>
          </w:tcPr>
          <w:p w14:paraId="07C48B0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《医疗器械经营监督管理办法》第四十四条。</w:t>
            </w:r>
          </w:p>
        </w:tc>
      </w:tr>
      <w:tr w14:paraId="52FF5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3" w:hRule="atLeast"/>
          <w:jc w:val="center"/>
        </w:trPr>
        <w:tc>
          <w:tcPr>
            <w:tcW w:w="748" w:type="dxa"/>
            <w:vAlign w:val="center"/>
          </w:tcPr>
          <w:p w14:paraId="034AC11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kern w:val="0"/>
                <w:sz w:val="18"/>
                <w:szCs w:val="18"/>
              </w:rPr>
              <w:t>不良事件监测</w:t>
            </w:r>
          </w:p>
        </w:tc>
        <w:tc>
          <w:tcPr>
            <w:tcW w:w="770" w:type="dxa"/>
            <w:vAlign w:val="center"/>
          </w:tcPr>
          <w:p w14:paraId="413F6B9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45</w:t>
            </w:r>
          </w:p>
        </w:tc>
        <w:tc>
          <w:tcPr>
            <w:tcW w:w="8511" w:type="dxa"/>
            <w:vAlign w:val="center"/>
          </w:tcPr>
          <w:p w14:paraId="3092287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经营企业应当协助医疗器械注册人、备案人，对所经营的医疗器械开展不良事件监测，应当建立医疗器械不良事件监测工作制度，配备与经营规模相适应的机构或者人员从事医疗器械不良事件监测相关工作；收集医疗器械不良事件，并按照要求向监测机构报告；医疗器械经营企业应当对医疗器械不良事件监测技术机构、负责药品监督管理的部门、卫生主管部门开展的医疗器械不良事件调查予以配合；协助持有人对所经营的医疗器械开展不良事件监测按国家药品监督管理局的要求向医疗器械不良事件监测技术机构报告。</w:t>
            </w:r>
          </w:p>
        </w:tc>
        <w:tc>
          <w:tcPr>
            <w:tcW w:w="5522" w:type="dxa"/>
            <w:vAlign w:val="center"/>
          </w:tcPr>
          <w:p w14:paraId="606FE57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《医疗器械监督管理条例》第六十二条、第六十五条；《医疗器械经营监督管理办法》第四十一条。</w:t>
            </w:r>
          </w:p>
        </w:tc>
      </w:tr>
      <w:tr w14:paraId="0A544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7" w:hRule="atLeast"/>
          <w:jc w:val="center"/>
        </w:trPr>
        <w:tc>
          <w:tcPr>
            <w:tcW w:w="748" w:type="dxa"/>
            <w:vMerge w:val="restart"/>
            <w:vAlign w:val="center"/>
          </w:tcPr>
          <w:p w14:paraId="08EC43D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kern w:val="0"/>
                <w:sz w:val="18"/>
                <w:szCs w:val="18"/>
              </w:rPr>
              <w:t>网络销售</w:t>
            </w:r>
          </w:p>
        </w:tc>
        <w:tc>
          <w:tcPr>
            <w:tcW w:w="770" w:type="dxa"/>
            <w:vAlign w:val="center"/>
          </w:tcPr>
          <w:p w14:paraId="37B539C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46</w:t>
            </w:r>
          </w:p>
        </w:tc>
        <w:tc>
          <w:tcPr>
            <w:tcW w:w="8511" w:type="dxa"/>
            <w:vAlign w:val="center"/>
          </w:tcPr>
          <w:p w14:paraId="210E6A9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从事医疗器械网络销售的经营者，应当将从事医疗器械网络销售的相关信息告知所在地区县（自治县）人民政府负责药品监督管理的部门，经营第一类医疗器械和</w:t>
            </w:r>
            <w:r>
              <w:rPr>
                <w:rFonts w:hint="eastAsia" w:ascii="方正仿宋_GBK" w:hAnsi="方正仿宋_GBK" w:eastAsia="方正仿宋_GBK" w:cs="方正仿宋_GBK"/>
                <w:sz w:val="18"/>
                <w:szCs w:val="18"/>
                <w:shd w:val="clear" w:color="auto" w:fill="FFFFFF"/>
              </w:rPr>
              <w:t>按照国务院药品监督管理部门规定可以免于经营备案</w:t>
            </w:r>
            <w:r>
              <w:rPr>
                <w:rFonts w:hint="eastAsia" w:ascii="方正仿宋_GBK" w:hAnsi="方正仿宋_GBK" w:eastAsia="方正仿宋_GBK" w:cs="方正仿宋_GBK"/>
                <w:kern w:val="0"/>
                <w:sz w:val="18"/>
                <w:szCs w:val="18"/>
              </w:rPr>
              <w:t>的第二类医疗器械除外。</w:t>
            </w:r>
          </w:p>
        </w:tc>
        <w:tc>
          <w:tcPr>
            <w:tcW w:w="5522" w:type="dxa"/>
            <w:vAlign w:val="center"/>
          </w:tcPr>
          <w:p w14:paraId="18E109C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《医疗器械监督管理条例》第四十六条。</w:t>
            </w:r>
          </w:p>
        </w:tc>
      </w:tr>
      <w:tr w14:paraId="7DF21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48" w:type="dxa"/>
            <w:vMerge w:val="continue"/>
            <w:vAlign w:val="center"/>
          </w:tcPr>
          <w:p w14:paraId="6061C6D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6295818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47</w:t>
            </w:r>
          </w:p>
        </w:tc>
        <w:tc>
          <w:tcPr>
            <w:tcW w:w="8511" w:type="dxa"/>
            <w:vAlign w:val="center"/>
          </w:tcPr>
          <w:p w14:paraId="6BF4620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从事医疗器械网络销售的企业应当是依法取得医疗器械生产许可、经营许可或者办理备案的医疗器械生产经营企业。法律法规规定不需要办理许可或者备案的除外。</w:t>
            </w:r>
          </w:p>
        </w:tc>
        <w:tc>
          <w:tcPr>
            <w:tcW w:w="5522" w:type="dxa"/>
            <w:vAlign w:val="center"/>
          </w:tcPr>
          <w:p w14:paraId="360E4EB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《医疗器械网络销售监督管理办法》第七条。</w:t>
            </w:r>
          </w:p>
        </w:tc>
      </w:tr>
      <w:tr w14:paraId="70719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748" w:type="dxa"/>
            <w:vMerge w:val="continue"/>
            <w:vAlign w:val="center"/>
          </w:tcPr>
          <w:p w14:paraId="2378094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34BB8F7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48</w:t>
            </w:r>
          </w:p>
        </w:tc>
        <w:tc>
          <w:tcPr>
            <w:tcW w:w="8511" w:type="dxa"/>
            <w:vAlign w:val="center"/>
          </w:tcPr>
          <w:p w14:paraId="6DDB897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从事医疗器械网络销售的企业、医疗器械网络交易服务第三方平台提供者应当遵守医疗器械法规、规章和规范，建立健全管理制度，依法诚信经营，保证医疗器械质量安全。</w:t>
            </w:r>
          </w:p>
        </w:tc>
        <w:tc>
          <w:tcPr>
            <w:tcW w:w="5522" w:type="dxa"/>
            <w:vAlign w:val="center"/>
          </w:tcPr>
          <w:p w14:paraId="468C074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《医疗器械网络销售监督管理办法》第四条。</w:t>
            </w:r>
          </w:p>
        </w:tc>
      </w:tr>
      <w:tr w14:paraId="6F62E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748" w:type="dxa"/>
            <w:vMerge w:val="continue"/>
            <w:vAlign w:val="center"/>
          </w:tcPr>
          <w:p w14:paraId="0FFF3DF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4E27BD0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49</w:t>
            </w:r>
          </w:p>
        </w:tc>
        <w:tc>
          <w:tcPr>
            <w:tcW w:w="8511" w:type="dxa"/>
            <w:vAlign w:val="center"/>
          </w:tcPr>
          <w:p w14:paraId="3FFC369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从事医疗器械网络销售的企业、医疗器械网络交易服务第三方平台提供者应当采取技术措施，保障医疗器械网络销售数据和资料的真实、完整、可追溯。</w:t>
            </w:r>
          </w:p>
        </w:tc>
        <w:tc>
          <w:tcPr>
            <w:tcW w:w="5522" w:type="dxa"/>
            <w:vAlign w:val="center"/>
          </w:tcPr>
          <w:p w14:paraId="0C17F40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《医疗器械网络销售监督管理办法》第五条。</w:t>
            </w:r>
          </w:p>
        </w:tc>
      </w:tr>
      <w:tr w14:paraId="62355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atLeast"/>
          <w:jc w:val="center"/>
        </w:trPr>
        <w:tc>
          <w:tcPr>
            <w:tcW w:w="748" w:type="dxa"/>
            <w:vMerge w:val="continue"/>
            <w:vAlign w:val="center"/>
          </w:tcPr>
          <w:p w14:paraId="5AB01C9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77223D3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50</w:t>
            </w:r>
          </w:p>
        </w:tc>
        <w:tc>
          <w:tcPr>
            <w:tcW w:w="8511" w:type="dxa"/>
            <w:vAlign w:val="center"/>
          </w:tcPr>
          <w:p w14:paraId="37BD1FC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从事医疗器械网络销售的企业，应当填写医疗器械网络销售信息表，将企业名称、法定代表人或者主要负责人、网站名称、网络客户端应用程序名、网站域名、网站IP地址、电信业务经营许可证或者非经营性互联网信息服务备案编号、医疗器械生产经营许可证件或者备案凭证编号等信息事先向所在地区县（自治县）负责药品监督管理部门备案。相关信息发生变化的，应当及时变更备案。</w:t>
            </w:r>
          </w:p>
        </w:tc>
        <w:tc>
          <w:tcPr>
            <w:tcW w:w="5522" w:type="dxa"/>
            <w:vAlign w:val="center"/>
          </w:tcPr>
          <w:p w14:paraId="060491E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《医疗器械网络销售监督管理办法》第八条。</w:t>
            </w:r>
          </w:p>
        </w:tc>
      </w:tr>
      <w:tr w14:paraId="06191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748" w:type="dxa"/>
            <w:vMerge w:val="continue"/>
            <w:vAlign w:val="center"/>
          </w:tcPr>
          <w:p w14:paraId="4988694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481E11C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51</w:t>
            </w:r>
          </w:p>
        </w:tc>
        <w:tc>
          <w:tcPr>
            <w:tcW w:w="8511" w:type="dxa"/>
            <w:vAlign w:val="center"/>
          </w:tcPr>
          <w:p w14:paraId="3095C69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从事医疗器械网络销售的企业，应当通过自建网站或者医疗器械网络交易服务第三方平台开展医疗器械网络销售活动。</w:t>
            </w:r>
          </w:p>
        </w:tc>
        <w:tc>
          <w:tcPr>
            <w:tcW w:w="5522" w:type="dxa"/>
            <w:vAlign w:val="center"/>
          </w:tcPr>
          <w:p w14:paraId="5C38553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《医疗器械网络销售监督管理办法》第九条。</w:t>
            </w:r>
          </w:p>
        </w:tc>
      </w:tr>
      <w:tr w14:paraId="704D0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9" w:hRule="atLeast"/>
          <w:jc w:val="center"/>
        </w:trPr>
        <w:tc>
          <w:tcPr>
            <w:tcW w:w="748" w:type="dxa"/>
            <w:vMerge w:val="continue"/>
            <w:vAlign w:val="center"/>
          </w:tcPr>
          <w:p w14:paraId="2EB201D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072C5FC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52</w:t>
            </w:r>
          </w:p>
        </w:tc>
        <w:tc>
          <w:tcPr>
            <w:tcW w:w="8511" w:type="dxa"/>
            <w:vAlign w:val="center"/>
          </w:tcPr>
          <w:p w14:paraId="7517993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网络销售经营者应当设立与网络销售范围、经营方式和销售规模相适应的质量管理机构。未设立质量管理机构的，应当指定专门的网络销售质量管理人员履行质量管理机构职责。</w:t>
            </w:r>
          </w:p>
        </w:tc>
        <w:tc>
          <w:tcPr>
            <w:tcW w:w="5522" w:type="dxa"/>
            <w:vAlign w:val="center"/>
          </w:tcPr>
          <w:p w14:paraId="5066C8A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《医疗器械网络销售质量管理规范》第六条。</w:t>
            </w:r>
          </w:p>
        </w:tc>
      </w:tr>
      <w:tr w14:paraId="60DE6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748" w:type="dxa"/>
            <w:vMerge w:val="restart"/>
            <w:vAlign w:val="center"/>
          </w:tcPr>
          <w:p w14:paraId="5052B79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kern w:val="0"/>
                <w:sz w:val="18"/>
                <w:szCs w:val="18"/>
              </w:rPr>
              <w:t>网络销售</w:t>
            </w:r>
          </w:p>
        </w:tc>
        <w:tc>
          <w:tcPr>
            <w:tcW w:w="770" w:type="dxa"/>
            <w:vAlign w:val="center"/>
          </w:tcPr>
          <w:p w14:paraId="02E45C8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53</w:t>
            </w:r>
          </w:p>
        </w:tc>
        <w:tc>
          <w:tcPr>
            <w:tcW w:w="8511" w:type="dxa"/>
            <w:vAlign w:val="center"/>
          </w:tcPr>
          <w:p w14:paraId="5187601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网络销售经营者质量管理机构除应当履行《医疗器械经营质量管理规范》规定的职责外，还应当履行《医疗器械网络销售质量管理规范》规定的职责。</w:t>
            </w:r>
          </w:p>
        </w:tc>
        <w:tc>
          <w:tcPr>
            <w:tcW w:w="5522" w:type="dxa"/>
            <w:vAlign w:val="center"/>
          </w:tcPr>
          <w:p w14:paraId="2E729D6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《医疗器械网络销售质量管理规范》第七条。</w:t>
            </w:r>
          </w:p>
        </w:tc>
      </w:tr>
      <w:tr w14:paraId="040BC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48" w:type="dxa"/>
            <w:vMerge w:val="continue"/>
            <w:vAlign w:val="center"/>
          </w:tcPr>
          <w:p w14:paraId="06E30D1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6FFC401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54</w:t>
            </w:r>
          </w:p>
        </w:tc>
        <w:tc>
          <w:tcPr>
            <w:tcW w:w="8511" w:type="dxa"/>
            <w:vAlign w:val="center"/>
          </w:tcPr>
          <w:p w14:paraId="5A9439D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网络销售经营者的企业负责人、质量负责人和质量管理人员等，应当满足《医疗器械经营质量管理规范》规定的相关人员资格要求。网络销售经营者应当对相关岗位人员进行医疗器械网络销售相关法律法规的培训与考核。</w:t>
            </w:r>
          </w:p>
        </w:tc>
        <w:tc>
          <w:tcPr>
            <w:tcW w:w="5522" w:type="dxa"/>
            <w:vAlign w:val="center"/>
          </w:tcPr>
          <w:p w14:paraId="7137CFA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《医疗器械网络销售质量管理规范》第八条。</w:t>
            </w:r>
          </w:p>
        </w:tc>
      </w:tr>
      <w:tr w14:paraId="65452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748" w:type="dxa"/>
            <w:vMerge w:val="continue"/>
            <w:vAlign w:val="center"/>
          </w:tcPr>
          <w:p w14:paraId="10D3907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368CBAE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55</w:t>
            </w:r>
          </w:p>
        </w:tc>
        <w:tc>
          <w:tcPr>
            <w:tcW w:w="8511" w:type="dxa"/>
            <w:vAlign w:val="center"/>
          </w:tcPr>
          <w:p w14:paraId="2065ED5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pacing w:val="-4"/>
                <w:sz w:val="18"/>
                <w:szCs w:val="18"/>
              </w:rPr>
            </w:pPr>
            <w:r>
              <w:rPr>
                <w:rFonts w:hint="eastAsia" w:ascii="方正仿宋_GBK" w:hAnsi="方正仿宋_GBK" w:eastAsia="方正仿宋_GBK" w:cs="方正仿宋_GBK"/>
                <w:spacing w:val="-4"/>
                <w:kern w:val="0"/>
                <w:sz w:val="18"/>
                <w:szCs w:val="18"/>
              </w:rPr>
              <w:t>网络销售经营者应当配备与网络销售范围和网络销售规模相适应的软硬件设备或者技术条件。</w:t>
            </w:r>
          </w:p>
        </w:tc>
        <w:tc>
          <w:tcPr>
            <w:tcW w:w="5522" w:type="dxa"/>
            <w:vAlign w:val="center"/>
          </w:tcPr>
          <w:p w14:paraId="057A7CE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《医疗器械网络销售质量管理规范》第九条。</w:t>
            </w:r>
          </w:p>
        </w:tc>
      </w:tr>
      <w:tr w14:paraId="08905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jc w:val="center"/>
        </w:trPr>
        <w:tc>
          <w:tcPr>
            <w:tcW w:w="748" w:type="dxa"/>
            <w:vMerge w:val="continue"/>
            <w:vAlign w:val="center"/>
          </w:tcPr>
          <w:p w14:paraId="7E26E21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151D387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56</w:t>
            </w:r>
          </w:p>
        </w:tc>
        <w:tc>
          <w:tcPr>
            <w:tcW w:w="8511" w:type="dxa"/>
            <w:vAlign w:val="center"/>
          </w:tcPr>
          <w:p w14:paraId="22F4A5B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网络销售经营者建立的质量管理体系文件除应当满足《医疗器械经营质量管理规范》规定外，还应当至少包含《医疗器械网络销售质量管理规范》规定的内容。</w:t>
            </w:r>
          </w:p>
        </w:tc>
        <w:tc>
          <w:tcPr>
            <w:tcW w:w="5522" w:type="dxa"/>
            <w:vAlign w:val="center"/>
          </w:tcPr>
          <w:p w14:paraId="5F80D36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《医疗器械网络销售质量管理规范》第十条。</w:t>
            </w:r>
          </w:p>
        </w:tc>
      </w:tr>
      <w:tr w14:paraId="4E87A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748" w:type="dxa"/>
            <w:vMerge w:val="continue"/>
            <w:vAlign w:val="center"/>
          </w:tcPr>
          <w:p w14:paraId="4A0F4BE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75C9D1F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57</w:t>
            </w:r>
          </w:p>
        </w:tc>
        <w:tc>
          <w:tcPr>
            <w:tcW w:w="8511" w:type="dxa"/>
            <w:vAlign w:val="center"/>
          </w:tcPr>
          <w:p w14:paraId="1A85F8E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网络销售经营者应当在其网站首页或者经营活动的主页面等显著位置，持续展示《医疗器械网络销售质量管理规范》规定的资质信息。信息应该真实、完整、清晰。</w:t>
            </w:r>
          </w:p>
        </w:tc>
        <w:tc>
          <w:tcPr>
            <w:tcW w:w="5522" w:type="dxa"/>
            <w:vAlign w:val="center"/>
          </w:tcPr>
          <w:p w14:paraId="1B4A84A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《医疗器械网络销售质量管理规范》第十一条、第十二条、第十三条。</w:t>
            </w:r>
          </w:p>
        </w:tc>
      </w:tr>
      <w:tr w14:paraId="6904A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748" w:type="dxa"/>
            <w:vMerge w:val="continue"/>
            <w:vAlign w:val="center"/>
          </w:tcPr>
          <w:p w14:paraId="0CD0B5B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3405EDD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58</w:t>
            </w:r>
          </w:p>
        </w:tc>
        <w:tc>
          <w:tcPr>
            <w:tcW w:w="8511" w:type="dxa"/>
            <w:vAlign w:val="center"/>
          </w:tcPr>
          <w:p w14:paraId="4CE1957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网络销售经营者应当加强对展示信息的审核和动态监测，发现不符合法律、法规、规章、规范等规定要求的，应当及时停止展示或者按要求更改，并保存相关记录。</w:t>
            </w:r>
          </w:p>
        </w:tc>
        <w:tc>
          <w:tcPr>
            <w:tcW w:w="5522" w:type="dxa"/>
            <w:vAlign w:val="center"/>
          </w:tcPr>
          <w:p w14:paraId="63882D2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《医疗器械网络销售质量管理规范》第十四条。</w:t>
            </w:r>
          </w:p>
        </w:tc>
      </w:tr>
      <w:tr w14:paraId="6CA3B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748" w:type="dxa"/>
            <w:vMerge w:val="continue"/>
            <w:vAlign w:val="center"/>
          </w:tcPr>
          <w:p w14:paraId="469C401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7F30335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59</w:t>
            </w:r>
          </w:p>
        </w:tc>
        <w:tc>
          <w:tcPr>
            <w:tcW w:w="8511" w:type="dxa"/>
            <w:vAlign w:val="center"/>
          </w:tcPr>
          <w:p w14:paraId="36A011F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从事医疗器械零售的网络销售经营者，应当为购货者开具销售凭据。从事医疗器械批发的网络销售经营者，应当为购货者开具随货同行单。</w:t>
            </w:r>
          </w:p>
          <w:p w14:paraId="5A16F3C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销售凭据、随货同行单内容除符合《医疗器械经营质量管理规范》的要求外，还应当包括网络销售订单号等信息。</w:t>
            </w:r>
          </w:p>
        </w:tc>
        <w:tc>
          <w:tcPr>
            <w:tcW w:w="5522" w:type="dxa"/>
            <w:vAlign w:val="center"/>
          </w:tcPr>
          <w:p w14:paraId="12DCE61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《医疗器械网络销售质量管理规范》第十七条。</w:t>
            </w:r>
          </w:p>
        </w:tc>
      </w:tr>
      <w:tr w14:paraId="481CF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0" w:hRule="atLeast"/>
          <w:jc w:val="center"/>
        </w:trPr>
        <w:tc>
          <w:tcPr>
            <w:tcW w:w="748" w:type="dxa"/>
            <w:vMerge w:val="restart"/>
            <w:vAlign w:val="center"/>
          </w:tcPr>
          <w:p w14:paraId="3D20812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kern w:val="0"/>
                <w:sz w:val="18"/>
                <w:szCs w:val="18"/>
              </w:rPr>
              <w:t>网络销售</w:t>
            </w:r>
          </w:p>
        </w:tc>
        <w:tc>
          <w:tcPr>
            <w:tcW w:w="770" w:type="dxa"/>
            <w:vAlign w:val="center"/>
          </w:tcPr>
          <w:p w14:paraId="6B10AF3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60</w:t>
            </w:r>
          </w:p>
        </w:tc>
        <w:tc>
          <w:tcPr>
            <w:tcW w:w="8511" w:type="dxa"/>
            <w:vAlign w:val="center"/>
          </w:tcPr>
          <w:p w14:paraId="28ADDBF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网络销售经营者应当按照相关制度以及运输操作规程要求运输医疗器械，按照所销售医疗器械说明书和标签标示的运输、贮存条件要求，选择合理的运输方式，做好运输过程的产品防护，确保运输过程医疗器械产品的质量安全，并做好《医疗器械网络销售质量管理规范》中要求的运输记录。委托其他具备质量保障能力的承运单位运输医疗器械的，应当签订委托运输质量保证协议，并定期对承运单位运输医疗器械的质量保障能力进行评估，确保运输过程的质量安全。</w:t>
            </w:r>
          </w:p>
        </w:tc>
        <w:tc>
          <w:tcPr>
            <w:tcW w:w="5522" w:type="dxa"/>
            <w:vAlign w:val="center"/>
          </w:tcPr>
          <w:p w14:paraId="163DE65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《医疗器械网络销售质量管理规范》第十八条、第十九条。</w:t>
            </w:r>
          </w:p>
        </w:tc>
      </w:tr>
      <w:tr w14:paraId="279EC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jc w:val="center"/>
        </w:trPr>
        <w:tc>
          <w:tcPr>
            <w:tcW w:w="748" w:type="dxa"/>
            <w:vMerge w:val="continue"/>
            <w:vAlign w:val="center"/>
          </w:tcPr>
          <w:p w14:paraId="5396005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2326DD1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61</w:t>
            </w:r>
          </w:p>
        </w:tc>
        <w:tc>
          <w:tcPr>
            <w:tcW w:w="8511" w:type="dxa"/>
            <w:vAlign w:val="center"/>
          </w:tcPr>
          <w:p w14:paraId="24C16A7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网络销售经营者应当在其网站首页或者从事经营活动的主页面显著位置，展示售后服务与客户投诉联系方式，并对客户意见的处理和反馈情况进行记录。</w:t>
            </w:r>
          </w:p>
        </w:tc>
        <w:tc>
          <w:tcPr>
            <w:tcW w:w="5522" w:type="dxa"/>
            <w:vAlign w:val="center"/>
          </w:tcPr>
          <w:p w14:paraId="1EDB922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《医疗器械网络销售质量管理规范》第二十条。</w:t>
            </w:r>
          </w:p>
        </w:tc>
      </w:tr>
      <w:tr w14:paraId="478EB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atLeast"/>
          <w:jc w:val="center"/>
        </w:trPr>
        <w:tc>
          <w:tcPr>
            <w:tcW w:w="748" w:type="dxa"/>
            <w:vMerge w:val="continue"/>
            <w:vAlign w:val="center"/>
          </w:tcPr>
          <w:p w14:paraId="3FF892F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1F13A81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62</w:t>
            </w:r>
          </w:p>
        </w:tc>
        <w:tc>
          <w:tcPr>
            <w:tcW w:w="8511" w:type="dxa"/>
            <w:vAlign w:val="center"/>
          </w:tcPr>
          <w:p w14:paraId="4E78F62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网络销售经营者应当重点关注和收集药品监管部门、医疗器械注册人（备案人）、供货者、购货者以及入驻电商平台经营者等发布和告知的医疗器械质量风险信息，及时对销售的医疗器械进行检查，发现存在质量问题或者安全隐患的，应当依法采取暂停产品信息展示、暂停销售等相应的风险控制措施。</w:t>
            </w:r>
          </w:p>
        </w:tc>
        <w:tc>
          <w:tcPr>
            <w:tcW w:w="5522" w:type="dxa"/>
            <w:vAlign w:val="center"/>
          </w:tcPr>
          <w:p w14:paraId="7C1358E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《医疗器械网络销售质量管理规范》第二十一条。</w:t>
            </w:r>
          </w:p>
        </w:tc>
      </w:tr>
      <w:tr w14:paraId="0BA7B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748" w:type="dxa"/>
            <w:vMerge w:val="continue"/>
            <w:vAlign w:val="center"/>
          </w:tcPr>
          <w:p w14:paraId="734A02E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76817CC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63</w:t>
            </w:r>
          </w:p>
        </w:tc>
        <w:tc>
          <w:tcPr>
            <w:tcW w:w="8511" w:type="dxa"/>
            <w:vAlign w:val="center"/>
          </w:tcPr>
          <w:p w14:paraId="372DAE2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开展网络经营的第二类、第三类医疗器械经营企业，自查报告还应当包括医疗器械网络销售相关质量管理体系的运行情况。</w:t>
            </w:r>
          </w:p>
        </w:tc>
        <w:tc>
          <w:tcPr>
            <w:tcW w:w="5522" w:type="dxa"/>
            <w:vAlign w:val="center"/>
          </w:tcPr>
          <w:p w14:paraId="531A76B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《医疗器械网络销售质量管理规范》第二十条。</w:t>
            </w:r>
          </w:p>
        </w:tc>
      </w:tr>
      <w:tr w14:paraId="676D9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jc w:val="center"/>
        </w:trPr>
        <w:tc>
          <w:tcPr>
            <w:tcW w:w="748" w:type="dxa"/>
            <w:vMerge w:val="continue"/>
            <w:vAlign w:val="center"/>
          </w:tcPr>
          <w:p w14:paraId="7FB9B15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6EC2B7E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64</w:t>
            </w:r>
          </w:p>
        </w:tc>
        <w:tc>
          <w:tcPr>
            <w:tcW w:w="8511" w:type="dxa"/>
            <w:vAlign w:val="center"/>
          </w:tcPr>
          <w:p w14:paraId="229705F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从事医疗器械网络销售的企业在网上发布的医疗器械名称、型号、规格、结构及组成、适用范围、医疗器械注册证编号或者备案凭证编号、注册人或者备案人信息、生产许可证或者备案凭证编号、产品技术要求编号、禁忌症等信息，应当与经注册或者备案的相关内容保持一致。</w:t>
            </w:r>
          </w:p>
        </w:tc>
        <w:tc>
          <w:tcPr>
            <w:tcW w:w="5522" w:type="dxa"/>
            <w:vAlign w:val="center"/>
          </w:tcPr>
          <w:p w14:paraId="7A5994E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《医疗器械网络销售监督管理办法》第十一条。</w:t>
            </w:r>
          </w:p>
        </w:tc>
      </w:tr>
      <w:tr w14:paraId="1BAE0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3" w:hRule="atLeast"/>
          <w:jc w:val="center"/>
        </w:trPr>
        <w:tc>
          <w:tcPr>
            <w:tcW w:w="748" w:type="dxa"/>
            <w:vMerge w:val="restart"/>
            <w:vAlign w:val="center"/>
          </w:tcPr>
          <w:p w14:paraId="625F544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kern w:val="0"/>
                <w:sz w:val="18"/>
                <w:szCs w:val="18"/>
              </w:rPr>
              <w:t>网络销售</w:t>
            </w:r>
          </w:p>
        </w:tc>
        <w:tc>
          <w:tcPr>
            <w:tcW w:w="770" w:type="dxa"/>
            <w:vAlign w:val="center"/>
          </w:tcPr>
          <w:p w14:paraId="7A7549D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65</w:t>
            </w:r>
          </w:p>
        </w:tc>
        <w:tc>
          <w:tcPr>
            <w:tcW w:w="8511" w:type="dxa"/>
            <w:vAlign w:val="center"/>
          </w:tcPr>
          <w:p w14:paraId="1094DF1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从事医疗器械网络销售的企业，经营范围不得超出其生产经营许可或者备案的范围。</w:t>
            </w:r>
          </w:p>
          <w:p w14:paraId="2358CDB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医疗器械批发企业从事医疗器械网络销售，应当销售给具有资质的医疗器械经营企业或者使用单位。</w:t>
            </w:r>
          </w:p>
          <w:p w14:paraId="20E9E4B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零售企业从事医疗器械网络销售，应当销售给消费者。销售给消费者个人的医疗器械，应当是可以由消费者个人自行使用的，其说明书应当符合医疗器械说明书和标签管理相关规定，标注安全使用的特别说明。</w:t>
            </w:r>
          </w:p>
        </w:tc>
        <w:tc>
          <w:tcPr>
            <w:tcW w:w="5522" w:type="dxa"/>
            <w:vAlign w:val="center"/>
          </w:tcPr>
          <w:p w14:paraId="3E848AA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《医疗器械网络销售监督管理办法》第十三条。</w:t>
            </w:r>
          </w:p>
        </w:tc>
      </w:tr>
      <w:tr w14:paraId="3416B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jc w:val="center"/>
        </w:trPr>
        <w:tc>
          <w:tcPr>
            <w:tcW w:w="748" w:type="dxa"/>
            <w:vMerge w:val="continue"/>
            <w:vAlign w:val="center"/>
          </w:tcPr>
          <w:p w14:paraId="2DBB3B8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33DAE02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66</w:t>
            </w:r>
          </w:p>
        </w:tc>
        <w:tc>
          <w:tcPr>
            <w:tcW w:w="8511" w:type="dxa"/>
            <w:vAlign w:val="center"/>
          </w:tcPr>
          <w:p w14:paraId="71C77FE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从事医疗器械网络销售的企业，应当按照医疗器械标签和说明书标明的条件贮存和运输医疗器械。委托其他单位贮存和运输医疗器械的，应当对被委托方贮存和运输医疗器械的质量保障能力进行考核评估，明确贮存和运输过程中的质量安全责任，确保贮存和运输过程中的质量安全。</w:t>
            </w:r>
          </w:p>
        </w:tc>
        <w:tc>
          <w:tcPr>
            <w:tcW w:w="5522" w:type="dxa"/>
            <w:vAlign w:val="center"/>
          </w:tcPr>
          <w:p w14:paraId="7C52CDC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《医疗器械网络销售监督管理办法》第十四条。</w:t>
            </w:r>
          </w:p>
        </w:tc>
      </w:tr>
      <w:tr w14:paraId="5C44E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748" w:type="dxa"/>
            <w:vMerge w:val="restart"/>
            <w:vAlign w:val="center"/>
          </w:tcPr>
          <w:p w14:paraId="5799BC8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kern w:val="0"/>
                <w:sz w:val="18"/>
                <w:szCs w:val="18"/>
              </w:rPr>
              <w:t>监督检查</w:t>
            </w:r>
          </w:p>
        </w:tc>
        <w:tc>
          <w:tcPr>
            <w:tcW w:w="770" w:type="dxa"/>
            <w:vAlign w:val="center"/>
          </w:tcPr>
          <w:p w14:paraId="0F70884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67</w:t>
            </w:r>
          </w:p>
        </w:tc>
        <w:tc>
          <w:tcPr>
            <w:tcW w:w="8511" w:type="dxa"/>
            <w:vAlign w:val="center"/>
          </w:tcPr>
          <w:p w14:paraId="65AA627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企业应当对药品监督管理部门开展的各项监督检查予以配合，提供相关文件和资料，不得隐瞒、拒绝、阻挠。</w:t>
            </w:r>
          </w:p>
        </w:tc>
        <w:tc>
          <w:tcPr>
            <w:tcW w:w="5522" w:type="dxa"/>
            <w:vAlign w:val="center"/>
          </w:tcPr>
          <w:p w14:paraId="46827BB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《医疗器械监督管理条例》第七十条。</w:t>
            </w:r>
          </w:p>
        </w:tc>
      </w:tr>
      <w:tr w14:paraId="2AA20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atLeast"/>
          <w:jc w:val="center"/>
        </w:trPr>
        <w:tc>
          <w:tcPr>
            <w:tcW w:w="748" w:type="dxa"/>
            <w:vMerge w:val="continue"/>
            <w:vAlign w:val="center"/>
          </w:tcPr>
          <w:p w14:paraId="23F8D17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bCs/>
                <w:sz w:val="18"/>
                <w:szCs w:val="18"/>
              </w:rPr>
            </w:pPr>
          </w:p>
        </w:tc>
        <w:tc>
          <w:tcPr>
            <w:tcW w:w="770" w:type="dxa"/>
            <w:vAlign w:val="center"/>
          </w:tcPr>
          <w:p w14:paraId="5AC6B94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68</w:t>
            </w:r>
          </w:p>
        </w:tc>
        <w:tc>
          <w:tcPr>
            <w:tcW w:w="8511" w:type="dxa"/>
            <w:vAlign w:val="center"/>
          </w:tcPr>
          <w:p w14:paraId="2DB4B67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从事医疗器械网络销售的企业、医疗器械网络交易服务第三方平台提供者应当积极配合药品监督管理部门开展网络监测、抽样检验、现场检查等监督管理，按照药品监督管理部门的要求存储数据，提供信息查询、数据提取等相关支持。</w:t>
            </w:r>
          </w:p>
        </w:tc>
        <w:tc>
          <w:tcPr>
            <w:tcW w:w="5522" w:type="dxa"/>
            <w:vAlign w:val="center"/>
          </w:tcPr>
          <w:p w14:paraId="08C39B2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《医疗器械网络销售监督管理办法》第六条。</w:t>
            </w:r>
          </w:p>
        </w:tc>
      </w:tr>
    </w:tbl>
    <w:p w14:paraId="682980CC">
      <w:pPr>
        <w:rPr>
          <w:rFonts w:ascii="Times New Roman" w:hAnsi="Times New Roman"/>
        </w:rPr>
      </w:pPr>
    </w:p>
    <w:p w14:paraId="4F2D0D74">
      <w:pPr>
        <w:rPr>
          <w:rFonts w:ascii="Times New Roman" w:hAnsi="Times New Roman"/>
        </w:rPr>
      </w:pPr>
    </w:p>
    <w:p w14:paraId="4E493A8C">
      <w:pPr>
        <w:rPr>
          <w:rFonts w:ascii="Times New Roman" w:hAnsi="Times New Roman"/>
        </w:rPr>
      </w:pPr>
    </w:p>
    <w:p w14:paraId="19D4363F">
      <w:pPr>
        <w:rPr>
          <w:rFonts w:ascii="Times New Roman" w:hAnsi="Times New Roman"/>
        </w:rPr>
      </w:pPr>
    </w:p>
    <w:tbl>
      <w:tblPr>
        <w:tblStyle w:val="9"/>
        <w:tblW w:w="15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770"/>
        <w:gridCol w:w="8511"/>
        <w:gridCol w:w="5526"/>
      </w:tblGrid>
      <w:tr w14:paraId="62EF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jc w:val="center"/>
        </w:trPr>
        <w:tc>
          <w:tcPr>
            <w:tcW w:w="752" w:type="dxa"/>
            <w:vAlign w:val="center"/>
          </w:tcPr>
          <w:p w14:paraId="2446B2CC">
            <w:pPr>
              <w:widowControl/>
              <w:snapToGrid w:val="0"/>
              <w:spacing w:line="400" w:lineRule="exact"/>
              <w:jc w:val="center"/>
              <w:rPr>
                <w:rFonts w:eastAsia="方正黑体_GBK" w:cs="宋体"/>
                <w:kern w:val="0"/>
                <w:sz w:val="18"/>
                <w:szCs w:val="18"/>
              </w:rPr>
            </w:pPr>
            <w:r>
              <w:rPr>
                <w:rFonts w:hint="eastAsia" w:eastAsia="方正黑体_GBK" w:cs="宋体"/>
                <w:kern w:val="0"/>
                <w:sz w:val="18"/>
                <w:szCs w:val="18"/>
              </w:rPr>
              <w:t>表16</w:t>
            </w:r>
          </w:p>
        </w:tc>
        <w:tc>
          <w:tcPr>
            <w:tcW w:w="14807" w:type="dxa"/>
            <w:gridSpan w:val="3"/>
            <w:vAlign w:val="center"/>
          </w:tcPr>
          <w:p w14:paraId="256D3764">
            <w:pPr>
              <w:widowControl/>
              <w:snapToGrid w:val="0"/>
              <w:spacing w:line="400" w:lineRule="exact"/>
              <w:jc w:val="center"/>
              <w:rPr>
                <w:rFonts w:eastAsia="方正黑体_GBK" w:cs="宋体"/>
                <w:kern w:val="0"/>
                <w:sz w:val="18"/>
                <w:szCs w:val="18"/>
              </w:rPr>
            </w:pPr>
            <w:r>
              <w:rPr>
                <w:rFonts w:hint="eastAsia" w:eastAsia="方正黑体_GBK" w:cs="宋体"/>
                <w:kern w:val="0"/>
                <w:sz w:val="18"/>
                <w:szCs w:val="18"/>
              </w:rPr>
              <w:t>药品使用单位主体责任清单</w:t>
            </w:r>
          </w:p>
        </w:tc>
      </w:tr>
      <w:tr w14:paraId="1826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Header/>
          <w:jc w:val="center"/>
        </w:trPr>
        <w:tc>
          <w:tcPr>
            <w:tcW w:w="752" w:type="dxa"/>
            <w:vAlign w:val="center"/>
          </w:tcPr>
          <w:p w14:paraId="65621651">
            <w:pPr>
              <w:widowControl/>
              <w:snapToGrid w:val="0"/>
              <w:spacing w:line="400" w:lineRule="exact"/>
              <w:jc w:val="center"/>
              <w:rPr>
                <w:rFonts w:eastAsia="方正黑体_GBK" w:cs="宋体"/>
                <w:bCs/>
                <w:kern w:val="0"/>
                <w:sz w:val="18"/>
                <w:szCs w:val="18"/>
              </w:rPr>
            </w:pPr>
            <w:r>
              <w:rPr>
                <w:rFonts w:hint="eastAsia" w:eastAsia="方正黑体_GBK" w:cs="宋体"/>
                <w:bCs/>
                <w:kern w:val="0"/>
                <w:sz w:val="18"/>
                <w:szCs w:val="18"/>
              </w:rPr>
              <w:t>分类</w:t>
            </w:r>
          </w:p>
        </w:tc>
        <w:tc>
          <w:tcPr>
            <w:tcW w:w="770" w:type="dxa"/>
            <w:vAlign w:val="center"/>
          </w:tcPr>
          <w:p w14:paraId="134D16CD">
            <w:pPr>
              <w:widowControl/>
              <w:snapToGrid w:val="0"/>
              <w:spacing w:line="400" w:lineRule="exact"/>
              <w:jc w:val="center"/>
              <w:rPr>
                <w:rFonts w:eastAsia="方正黑体_GBK" w:cs="宋体"/>
                <w:bCs/>
                <w:kern w:val="0"/>
                <w:sz w:val="18"/>
                <w:szCs w:val="18"/>
              </w:rPr>
            </w:pPr>
            <w:r>
              <w:rPr>
                <w:rFonts w:hint="eastAsia" w:eastAsia="方正黑体_GBK" w:cs="宋体"/>
                <w:bCs/>
                <w:kern w:val="0"/>
                <w:sz w:val="18"/>
                <w:szCs w:val="18"/>
              </w:rPr>
              <w:t>序号</w:t>
            </w:r>
          </w:p>
        </w:tc>
        <w:tc>
          <w:tcPr>
            <w:tcW w:w="8511" w:type="dxa"/>
            <w:vAlign w:val="center"/>
          </w:tcPr>
          <w:p w14:paraId="03D8B591">
            <w:pPr>
              <w:widowControl/>
              <w:snapToGrid w:val="0"/>
              <w:spacing w:line="400" w:lineRule="exact"/>
              <w:jc w:val="center"/>
              <w:rPr>
                <w:rFonts w:eastAsia="方正黑体_GBK" w:cs="宋体"/>
                <w:bCs/>
                <w:kern w:val="0"/>
                <w:sz w:val="18"/>
                <w:szCs w:val="18"/>
              </w:rPr>
            </w:pPr>
            <w:r>
              <w:rPr>
                <w:rFonts w:hint="eastAsia" w:eastAsia="方正黑体_GBK" w:cs="宋体"/>
                <w:bCs/>
                <w:kern w:val="0"/>
                <w:sz w:val="18"/>
                <w:szCs w:val="18"/>
              </w:rPr>
              <w:t>主体责任</w:t>
            </w:r>
          </w:p>
        </w:tc>
        <w:tc>
          <w:tcPr>
            <w:tcW w:w="5526" w:type="dxa"/>
            <w:vAlign w:val="center"/>
          </w:tcPr>
          <w:p w14:paraId="4EA60B3C">
            <w:pPr>
              <w:widowControl/>
              <w:snapToGrid w:val="0"/>
              <w:spacing w:line="400" w:lineRule="exact"/>
              <w:jc w:val="center"/>
              <w:rPr>
                <w:rFonts w:eastAsia="方正黑体_GBK" w:cs="宋体"/>
                <w:bCs/>
                <w:kern w:val="0"/>
                <w:sz w:val="18"/>
                <w:szCs w:val="18"/>
              </w:rPr>
            </w:pPr>
            <w:r>
              <w:rPr>
                <w:rFonts w:hint="eastAsia" w:eastAsia="方正黑体_GBK" w:cs="宋体"/>
                <w:bCs/>
                <w:kern w:val="0"/>
                <w:sz w:val="18"/>
                <w:szCs w:val="18"/>
              </w:rPr>
              <w:t>责任依据</w:t>
            </w:r>
          </w:p>
        </w:tc>
      </w:tr>
      <w:tr w14:paraId="08D0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752" w:type="dxa"/>
            <w:vAlign w:val="center"/>
          </w:tcPr>
          <w:p w14:paraId="5A5124D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一般总则</w:t>
            </w:r>
          </w:p>
        </w:tc>
        <w:tc>
          <w:tcPr>
            <w:tcW w:w="770" w:type="dxa"/>
            <w:vAlign w:val="center"/>
          </w:tcPr>
          <w:p w14:paraId="11D96C1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w:t>
            </w:r>
          </w:p>
        </w:tc>
        <w:tc>
          <w:tcPr>
            <w:tcW w:w="8511" w:type="dxa"/>
            <w:vAlign w:val="center"/>
          </w:tcPr>
          <w:p w14:paraId="0DC8CBA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坚持安全有效、经济合理的用药原则，遵循药品临床应用指导原则、临床诊疗指南和药品说明书等合理用药，对医师处方、用药医嘱的适宜性进行审核。医疗机构以外的其他药品使用单位，应当遵守本法有关医疗机构使用药品的规定。</w:t>
            </w:r>
          </w:p>
        </w:tc>
        <w:tc>
          <w:tcPr>
            <w:tcW w:w="5526" w:type="dxa"/>
            <w:vAlign w:val="center"/>
          </w:tcPr>
          <w:p w14:paraId="59B0E09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《中华人民共和国药品管理法》第七十二条。</w:t>
            </w:r>
          </w:p>
        </w:tc>
      </w:tr>
      <w:tr w14:paraId="2065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vMerge w:val="restart"/>
            <w:vAlign w:val="center"/>
          </w:tcPr>
          <w:p w14:paraId="50C7382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资质许可</w:t>
            </w:r>
          </w:p>
        </w:tc>
        <w:tc>
          <w:tcPr>
            <w:tcW w:w="770" w:type="dxa"/>
            <w:vAlign w:val="center"/>
          </w:tcPr>
          <w:p w14:paraId="0275CD0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w:t>
            </w:r>
          </w:p>
        </w:tc>
        <w:tc>
          <w:tcPr>
            <w:tcW w:w="8511" w:type="dxa"/>
            <w:vAlign w:val="center"/>
          </w:tcPr>
          <w:p w14:paraId="25C14DE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配制制剂，应当经所在地省、自治区、直辖市人民政府药品监督管理部门批准，取得医疗机构制剂许可证。无医疗机构制剂许可证的，不得配制制剂。医疗机构设立制剂室，应当向所在地省、自治区、直辖市人民政府卫生行政部门提出申请，经审核同意后，报同级人民政府药品监督管理部门审批。</w:t>
            </w:r>
          </w:p>
        </w:tc>
        <w:tc>
          <w:tcPr>
            <w:tcW w:w="5526" w:type="dxa"/>
            <w:vAlign w:val="center"/>
          </w:tcPr>
          <w:p w14:paraId="07048A4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《中华人民共和国药品管理法》第七十四条；《中华人民共和国药品管理法实施条例》第二十条；《医疗机构制剂配制质量管理规范》第三条。</w:t>
            </w:r>
          </w:p>
        </w:tc>
      </w:tr>
      <w:tr w14:paraId="0942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752" w:type="dxa"/>
            <w:vMerge w:val="continue"/>
            <w:vAlign w:val="center"/>
          </w:tcPr>
          <w:p w14:paraId="0F8F86A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017DFFD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w:t>
            </w:r>
          </w:p>
        </w:tc>
        <w:tc>
          <w:tcPr>
            <w:tcW w:w="8511" w:type="dxa"/>
            <w:vAlign w:val="center"/>
          </w:tcPr>
          <w:p w14:paraId="2F987C1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配制的制剂，应当是本单位临床需要而市场上没有供应的品种，并应当经所在地省、自治区、直辖市人民政府药品监督管理部门批准；但是，法律对配制中药制剂另有规定的除外。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p>
        </w:tc>
        <w:tc>
          <w:tcPr>
            <w:tcW w:w="5526" w:type="dxa"/>
            <w:vAlign w:val="center"/>
          </w:tcPr>
          <w:p w14:paraId="41200CF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《中华人民共和国药品管理法》第七十六条；《医疗机构制剂注册管理办法》第二十七条。</w:t>
            </w:r>
          </w:p>
        </w:tc>
      </w:tr>
      <w:tr w14:paraId="2151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752" w:type="dxa"/>
            <w:vMerge w:val="continue"/>
            <w:vAlign w:val="center"/>
          </w:tcPr>
          <w:p w14:paraId="3BBAA0F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6C97D7C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w:t>
            </w:r>
          </w:p>
        </w:tc>
        <w:tc>
          <w:tcPr>
            <w:tcW w:w="8511" w:type="dxa"/>
            <w:vAlign w:val="center"/>
          </w:tcPr>
          <w:p w14:paraId="201D1E7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变更《医疗机构制剂许可证》许可事项的，应当在许可事项发生变更30日前，依照本条例第二十条的规定向原审核、批准机关申请《医疗机构制剂许可证》变更登记；未经批准，不得变更许可事项。医疗机构变更登记事项的，应当在有关部门核准变更后30日内，向原发证机关申请《医疗机构制剂许可证》变更登记。具体变更事项按《医疗机构制剂配制监督管理办法》的要求办理。</w:t>
            </w:r>
          </w:p>
        </w:tc>
        <w:tc>
          <w:tcPr>
            <w:tcW w:w="5526" w:type="dxa"/>
            <w:vAlign w:val="center"/>
          </w:tcPr>
          <w:p w14:paraId="2813238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《中华人民共和国药品管理法实施条例》第二十一条；《医疗机构制剂配制监督管理办法》第七条、第十八条、第十九条、第二十四条、第二十五条。</w:t>
            </w:r>
          </w:p>
        </w:tc>
      </w:tr>
      <w:tr w14:paraId="1F26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52" w:type="dxa"/>
            <w:vMerge w:val="continue"/>
            <w:vAlign w:val="center"/>
          </w:tcPr>
          <w:p w14:paraId="7095B99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7497A62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w:t>
            </w:r>
          </w:p>
        </w:tc>
        <w:tc>
          <w:tcPr>
            <w:tcW w:w="8511" w:type="dxa"/>
            <w:vAlign w:val="center"/>
          </w:tcPr>
          <w:p w14:paraId="4E08120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《医疗机构制剂许可证》有效期为5年。有效期届满，需要继续配制制剂的，医疗机构应当在许可证有效期届满前6个月，按照国务院药品监督管理部门的规定申请换发《医疗机构制剂许可证》。</w:t>
            </w:r>
          </w:p>
        </w:tc>
        <w:tc>
          <w:tcPr>
            <w:tcW w:w="5526" w:type="dxa"/>
            <w:vAlign w:val="center"/>
          </w:tcPr>
          <w:p w14:paraId="7A70F90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《中华人民共和国药品管理法》第七十四条；《中华人民共和国药品管理法实施条例》第二十二条；《医疗机构制剂配制监督管理办法》第二十一条。</w:t>
            </w:r>
          </w:p>
        </w:tc>
      </w:tr>
      <w:tr w14:paraId="509E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52" w:type="dxa"/>
            <w:vMerge w:val="restart"/>
            <w:vAlign w:val="center"/>
          </w:tcPr>
          <w:p w14:paraId="6DF30D3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资质许可</w:t>
            </w:r>
          </w:p>
        </w:tc>
        <w:tc>
          <w:tcPr>
            <w:tcW w:w="770" w:type="dxa"/>
            <w:vAlign w:val="center"/>
          </w:tcPr>
          <w:p w14:paraId="2F20F7F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w:t>
            </w:r>
          </w:p>
        </w:tc>
        <w:tc>
          <w:tcPr>
            <w:tcW w:w="8511" w:type="dxa"/>
            <w:vAlign w:val="center"/>
          </w:tcPr>
          <w:p w14:paraId="3E28AAA7">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医疗机构因临床急需进口少量药品的，经国务院药品监督管理部门或者国务院授权的省、自治区、直辖市人民政府批准，可以进口。进口的药品应当在指定医疗机构内用于特定医疗目的。</w:t>
            </w:r>
          </w:p>
        </w:tc>
        <w:tc>
          <w:tcPr>
            <w:tcW w:w="5526" w:type="dxa"/>
            <w:vAlign w:val="center"/>
          </w:tcPr>
          <w:p w14:paraId="180AF30B">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《中华人民共和国药品管理法》第六十五条；《中华人民共和国药品管理法实施条例》第三十六条；《医疗机构药品监督管理办法》第六条。</w:t>
            </w:r>
          </w:p>
        </w:tc>
      </w:tr>
      <w:tr w14:paraId="1E07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52" w:type="dxa"/>
            <w:vMerge w:val="continue"/>
            <w:vAlign w:val="center"/>
          </w:tcPr>
          <w:p w14:paraId="2A1061B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4368421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w:t>
            </w:r>
          </w:p>
        </w:tc>
        <w:tc>
          <w:tcPr>
            <w:tcW w:w="8511" w:type="dxa"/>
            <w:vAlign w:val="center"/>
          </w:tcPr>
          <w:p w14:paraId="7B93C2DA">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配制制剂，必须按照国务院药品监督管理部门的规定报送有关资料和样品，经所在地省、自治区、直辖市人民政府药品监督管理部门批准，并发给制剂批准文号后，方可配制。医疗机构制剂批准文号的有效期为3年。有效期届满需要继续配制的，申请人应当在有效期届满前3个月按照原申请配制程序提出再注册申请，报送有关资料。</w:t>
            </w:r>
          </w:p>
        </w:tc>
        <w:tc>
          <w:tcPr>
            <w:tcW w:w="5526" w:type="dxa"/>
            <w:vAlign w:val="center"/>
          </w:tcPr>
          <w:p w14:paraId="355486C7">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《中华人民共和国药品管理法实施条例》第二十三条；《医疗机构制剂注册管理办法》第三十一条。</w:t>
            </w:r>
          </w:p>
        </w:tc>
      </w:tr>
      <w:tr w14:paraId="0944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52" w:type="dxa"/>
            <w:vMerge w:val="continue"/>
            <w:vAlign w:val="center"/>
          </w:tcPr>
          <w:p w14:paraId="54106EF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2F7F9CB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8</w:t>
            </w:r>
          </w:p>
        </w:tc>
        <w:tc>
          <w:tcPr>
            <w:tcW w:w="8511" w:type="dxa"/>
            <w:vAlign w:val="center"/>
          </w:tcPr>
          <w:p w14:paraId="4BEB7422">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医疗机构配制制剂所使用的直接接触药品的包装材料和容器、制剂的标签和说明书应当符合《中华人民共和国药品管理法》第六章和本条例的有关规定，并经省、自治区、直辖市人民政府药品监督管理部门批准。</w:t>
            </w:r>
          </w:p>
        </w:tc>
        <w:tc>
          <w:tcPr>
            <w:tcW w:w="5526" w:type="dxa"/>
            <w:vAlign w:val="center"/>
          </w:tcPr>
          <w:p w14:paraId="0B6F5704">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《中华人民共和国药品管理法实施条例》第四十六条。</w:t>
            </w:r>
          </w:p>
        </w:tc>
      </w:tr>
      <w:tr w14:paraId="272E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52" w:type="dxa"/>
            <w:vMerge w:val="continue"/>
            <w:vAlign w:val="center"/>
          </w:tcPr>
          <w:p w14:paraId="3761C20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0A55373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9</w:t>
            </w:r>
          </w:p>
        </w:tc>
        <w:tc>
          <w:tcPr>
            <w:tcW w:w="8511" w:type="dxa"/>
            <w:vAlign w:val="center"/>
          </w:tcPr>
          <w:p w14:paraId="3D9129FC">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医疗机构应当遵守中药饮片炮制的有关规定，对其炮制的中药饮片的质量负责，保证药品</w:t>
            </w:r>
            <w:r>
              <w:rPr>
                <w:rFonts w:hint="eastAsia" w:ascii="方正仿宋_GBK" w:hAnsi="方正仿宋_GBK" w:eastAsia="方正仿宋_GBK" w:cs="方正仿宋_GBK"/>
                <w:spacing w:val="-2"/>
                <w:kern w:val="0"/>
                <w:sz w:val="18"/>
                <w:szCs w:val="18"/>
              </w:rPr>
              <w:t>安全。医疗机构炮制中药饮片，应当向所在地设区的市级人民政府药品监督管理部门备案。</w:t>
            </w:r>
          </w:p>
        </w:tc>
        <w:tc>
          <w:tcPr>
            <w:tcW w:w="5526" w:type="dxa"/>
            <w:vAlign w:val="center"/>
          </w:tcPr>
          <w:p w14:paraId="2C1174B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《中华人民共和国中医药法》第二十八条。</w:t>
            </w:r>
          </w:p>
        </w:tc>
      </w:tr>
      <w:tr w14:paraId="0F00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752" w:type="dxa"/>
            <w:vMerge w:val="continue"/>
            <w:vAlign w:val="center"/>
          </w:tcPr>
          <w:p w14:paraId="218F71C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297BC9D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10</w:t>
            </w:r>
          </w:p>
        </w:tc>
        <w:tc>
          <w:tcPr>
            <w:tcW w:w="8511" w:type="dxa"/>
            <w:vAlign w:val="center"/>
          </w:tcPr>
          <w:p w14:paraId="22BC0259">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配制中药制剂，应当依照《中华人民共和国药品管理法》的规定取得医疗机构制剂许可证，或者委托取得药品生产许可证的药品生产企业、取得医疗机构制剂许可证的其他医疗机构配制中药制剂。委托配制中药制剂，应当向委托方所在地省、自治区、直辖市人民政府药品监督管理部门备案。医疗机构对其配制的中药制剂的质量负责；委托配制中药制剂的，委托方和受托方对所配制的中药制剂的质量分别承担相应责任。</w:t>
            </w:r>
          </w:p>
        </w:tc>
        <w:tc>
          <w:tcPr>
            <w:tcW w:w="5526" w:type="dxa"/>
            <w:vAlign w:val="center"/>
          </w:tcPr>
          <w:p w14:paraId="5A0455F4">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《中华人民共和国中医药法》第三十一条。</w:t>
            </w:r>
          </w:p>
        </w:tc>
      </w:tr>
      <w:tr w14:paraId="6D8E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752" w:type="dxa"/>
            <w:vMerge w:val="continue"/>
            <w:vAlign w:val="center"/>
          </w:tcPr>
          <w:p w14:paraId="6359F92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0B18DEC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11</w:t>
            </w:r>
          </w:p>
        </w:tc>
        <w:tc>
          <w:tcPr>
            <w:tcW w:w="8511" w:type="dxa"/>
            <w:vAlign w:val="center"/>
          </w:tcPr>
          <w:p w14:paraId="7E690F29">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配制的中药制剂品种，应当依法取得制剂批准文号。但是，仅应用传统工艺配制的中药制剂品种，向医疗机构所在地省、自治区、直辖市人民政府药品监督管理部门备案后即可配制，不需要取得制剂批准文号。</w:t>
            </w:r>
          </w:p>
        </w:tc>
        <w:tc>
          <w:tcPr>
            <w:tcW w:w="5526" w:type="dxa"/>
            <w:vAlign w:val="center"/>
          </w:tcPr>
          <w:p w14:paraId="0AC71A90">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《中华人民共和国中医药法》第三十二条。</w:t>
            </w:r>
          </w:p>
        </w:tc>
      </w:tr>
      <w:tr w14:paraId="38DE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52" w:type="dxa"/>
            <w:vMerge w:val="restart"/>
            <w:vAlign w:val="center"/>
          </w:tcPr>
          <w:p w14:paraId="3A4411C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资质许可</w:t>
            </w:r>
          </w:p>
        </w:tc>
        <w:tc>
          <w:tcPr>
            <w:tcW w:w="770" w:type="dxa"/>
            <w:vAlign w:val="center"/>
          </w:tcPr>
          <w:p w14:paraId="16C6B87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12</w:t>
            </w:r>
          </w:p>
        </w:tc>
        <w:tc>
          <w:tcPr>
            <w:tcW w:w="8511" w:type="dxa"/>
            <w:vAlign w:val="center"/>
          </w:tcPr>
          <w:p w14:paraId="04D5188F">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医疗机构配制制剂，应当严格执行经批准的质量标准，并不得擅自变更工艺、处方、配制地点和委托配制单位。需要变更的，申请人应当提出补充申请，报送相关资料，经批准后方可执行。</w:t>
            </w:r>
          </w:p>
        </w:tc>
        <w:tc>
          <w:tcPr>
            <w:tcW w:w="5526" w:type="dxa"/>
            <w:vAlign w:val="center"/>
          </w:tcPr>
          <w:p w14:paraId="4939D4A7">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《医疗机构制剂注册管理办法》第三十条。</w:t>
            </w:r>
          </w:p>
        </w:tc>
      </w:tr>
      <w:tr w14:paraId="298C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52" w:type="dxa"/>
            <w:vMerge w:val="continue"/>
            <w:vAlign w:val="center"/>
          </w:tcPr>
          <w:p w14:paraId="5A1218A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5CF5F36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13</w:t>
            </w:r>
          </w:p>
        </w:tc>
        <w:tc>
          <w:tcPr>
            <w:tcW w:w="8511" w:type="dxa"/>
            <w:vAlign w:val="center"/>
          </w:tcPr>
          <w:p w14:paraId="4ABF8224">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医疗机构应当将具有麻醉药品和第一类精神药品处方资格的执业医师名单及其变更情况，定期报送所在地设区的市级人民政府卫生主管部门，并抄送同级药品监督管理部门。</w:t>
            </w:r>
          </w:p>
        </w:tc>
        <w:tc>
          <w:tcPr>
            <w:tcW w:w="5526" w:type="dxa"/>
            <w:vAlign w:val="center"/>
          </w:tcPr>
          <w:p w14:paraId="1BE20321">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《麻醉药品和精神药品管理条例》第三十八条。</w:t>
            </w:r>
          </w:p>
        </w:tc>
      </w:tr>
      <w:tr w14:paraId="5170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52" w:type="dxa"/>
            <w:vMerge w:val="continue"/>
            <w:vAlign w:val="center"/>
          </w:tcPr>
          <w:p w14:paraId="3EAA631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5765A64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14</w:t>
            </w:r>
          </w:p>
        </w:tc>
        <w:tc>
          <w:tcPr>
            <w:tcW w:w="8511" w:type="dxa"/>
            <w:vAlign w:val="center"/>
          </w:tcPr>
          <w:p w14:paraId="071AAE70">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对临床需要而市场无供应的麻醉药品和精神药品，持有医疗机构制剂许可证和印鉴卡的医</w:t>
            </w:r>
            <w:r>
              <w:rPr>
                <w:rFonts w:hint="eastAsia" w:ascii="方正仿宋_GBK" w:hAnsi="方正仿宋_GBK" w:eastAsia="方正仿宋_GBK" w:cs="方正仿宋_GBK"/>
                <w:spacing w:val="-4"/>
                <w:kern w:val="0"/>
                <w:sz w:val="18"/>
                <w:szCs w:val="18"/>
              </w:rPr>
              <w:t>疗机构需要配制制剂的，应当经所在地省、自治区、直辖市人民政府药品监督管理部门批准。</w:t>
            </w:r>
          </w:p>
        </w:tc>
        <w:tc>
          <w:tcPr>
            <w:tcW w:w="5526" w:type="dxa"/>
            <w:vAlign w:val="center"/>
          </w:tcPr>
          <w:p w14:paraId="043F9B0C">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《麻醉药品和精神药品管理条例》第四十三条。</w:t>
            </w:r>
          </w:p>
        </w:tc>
      </w:tr>
      <w:tr w14:paraId="0546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52" w:type="dxa"/>
            <w:vMerge w:val="continue"/>
            <w:vAlign w:val="center"/>
          </w:tcPr>
          <w:p w14:paraId="66C7E60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39C1463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15</w:t>
            </w:r>
          </w:p>
        </w:tc>
        <w:tc>
          <w:tcPr>
            <w:tcW w:w="8511" w:type="dxa"/>
            <w:vAlign w:val="center"/>
          </w:tcPr>
          <w:p w14:paraId="5D9CEC40">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医疗机构终止配制制剂或者关闭的，由原发证机关缴销《医疗机构制剂许可证》，同时报国家食品药品监督管理局备案。</w:t>
            </w:r>
          </w:p>
        </w:tc>
        <w:tc>
          <w:tcPr>
            <w:tcW w:w="5526" w:type="dxa"/>
            <w:vAlign w:val="center"/>
          </w:tcPr>
          <w:p w14:paraId="640D3E34">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《医疗机构制剂配制监督管理办法》第二十二条。</w:t>
            </w:r>
          </w:p>
        </w:tc>
      </w:tr>
      <w:tr w14:paraId="386C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52" w:type="dxa"/>
            <w:vMerge w:val="continue"/>
            <w:vAlign w:val="center"/>
          </w:tcPr>
          <w:p w14:paraId="2203707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2F65546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16</w:t>
            </w:r>
          </w:p>
        </w:tc>
        <w:tc>
          <w:tcPr>
            <w:tcW w:w="8511" w:type="dxa"/>
            <w:vAlign w:val="center"/>
          </w:tcPr>
          <w:p w14:paraId="07C65E53">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遗失《医疗机构制剂许可证》的，持证单位应当在原发证机关指定的媒体上登载遗失声明并同时向原发证机关申请补发。</w:t>
            </w:r>
          </w:p>
        </w:tc>
        <w:tc>
          <w:tcPr>
            <w:tcW w:w="5526" w:type="dxa"/>
            <w:vAlign w:val="center"/>
          </w:tcPr>
          <w:p w14:paraId="1B682232">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《医疗机构制剂配制监督管理办法》第二十三条。</w:t>
            </w:r>
          </w:p>
        </w:tc>
      </w:tr>
      <w:tr w14:paraId="41D6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52" w:type="dxa"/>
            <w:vMerge w:val="continue"/>
            <w:vAlign w:val="center"/>
          </w:tcPr>
          <w:p w14:paraId="1B7D807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2B90BB6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17</w:t>
            </w:r>
          </w:p>
        </w:tc>
        <w:tc>
          <w:tcPr>
            <w:tcW w:w="8511" w:type="dxa"/>
            <w:vAlign w:val="center"/>
          </w:tcPr>
          <w:p w14:paraId="6A384E69">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任何单位和个人不得伪造、变造、买卖、出租、出借《医疗机构制剂许可证》。</w:t>
            </w:r>
          </w:p>
        </w:tc>
        <w:tc>
          <w:tcPr>
            <w:tcW w:w="5526" w:type="dxa"/>
            <w:vAlign w:val="center"/>
          </w:tcPr>
          <w:p w14:paraId="2F811D6F">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《医疗机构制剂配制监督管理办法》第二十七条。</w:t>
            </w:r>
          </w:p>
        </w:tc>
      </w:tr>
      <w:tr w14:paraId="79F2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752" w:type="dxa"/>
            <w:vMerge w:val="continue"/>
            <w:vAlign w:val="center"/>
          </w:tcPr>
          <w:p w14:paraId="3857F61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527CE5A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18</w:t>
            </w:r>
          </w:p>
        </w:tc>
        <w:tc>
          <w:tcPr>
            <w:tcW w:w="8511" w:type="dxa"/>
            <w:vAlign w:val="center"/>
          </w:tcPr>
          <w:p w14:paraId="02E1263F">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单位凭省、自治区、直辖市药品监督管理部门发给的《放射性药品使用许可证》，开展放射性药品的购销活动。使用放射性药品等特殊管理的药品的，应当按规定取得相关的使用许可。无许可证的医疗单位不得临床使用放射性药品。</w:t>
            </w:r>
          </w:p>
          <w:p w14:paraId="3C2B3CCB">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《放射性药品使用许可证》有效期为5年，期满前6个月，医疗单位应当向原发证的行政部门重新提出申请，经审核批准后，换发新证。</w:t>
            </w:r>
          </w:p>
        </w:tc>
        <w:tc>
          <w:tcPr>
            <w:tcW w:w="5526" w:type="dxa"/>
            <w:vAlign w:val="center"/>
          </w:tcPr>
          <w:p w14:paraId="48D3F908">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《放射性药品管理办法》第十五条、第二十一条；《药品经营和使用质量监督管理办法》第四条。</w:t>
            </w:r>
          </w:p>
        </w:tc>
      </w:tr>
      <w:tr w14:paraId="4E5E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52" w:type="dxa"/>
            <w:vMerge w:val="continue"/>
            <w:vAlign w:val="center"/>
          </w:tcPr>
          <w:p w14:paraId="4DE6871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54974D9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19</w:t>
            </w:r>
          </w:p>
        </w:tc>
        <w:tc>
          <w:tcPr>
            <w:tcW w:w="8511" w:type="dxa"/>
            <w:vAlign w:val="center"/>
          </w:tcPr>
          <w:p w14:paraId="52B08F59">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医疗机构不得允许未经备案的人员对本医疗机构医务人员或者药事人员开展学术推广等相关活动；医疗机构可在备案平台查验核对医药代表备案信息。</w:t>
            </w:r>
          </w:p>
        </w:tc>
        <w:tc>
          <w:tcPr>
            <w:tcW w:w="5526" w:type="dxa"/>
            <w:vAlign w:val="center"/>
          </w:tcPr>
          <w:p w14:paraId="76E36FD1">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《医药代表备案管理办法》第十五条。</w:t>
            </w:r>
          </w:p>
        </w:tc>
      </w:tr>
      <w:tr w14:paraId="6E5F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752" w:type="dxa"/>
            <w:vMerge w:val="restart"/>
            <w:vAlign w:val="center"/>
          </w:tcPr>
          <w:p w14:paraId="07E0033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制度管理</w:t>
            </w:r>
          </w:p>
        </w:tc>
        <w:tc>
          <w:tcPr>
            <w:tcW w:w="770" w:type="dxa"/>
            <w:vAlign w:val="center"/>
          </w:tcPr>
          <w:p w14:paraId="7AE0FF9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20</w:t>
            </w:r>
          </w:p>
        </w:tc>
        <w:tc>
          <w:tcPr>
            <w:tcW w:w="8511" w:type="dxa"/>
            <w:vAlign w:val="center"/>
          </w:tcPr>
          <w:p w14:paraId="6958EC27">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等应当遵守国家药品监督管理局制定的统一药品追溯标准和规范，建立并实施药品追溯制度，覆盖药品购进、储存、使用的全过程追溯体系，开展追溯数据校验和采集，按照规定提供追溯信息，保证药品可追溯。医疗机构应当逐步建立覆盖药品购进、储存、调配、使用全过程质量控制的电子管理系统，实现药品来源可追溯、去向可查清，并与国家药品电子监管系统对接。</w:t>
            </w:r>
          </w:p>
        </w:tc>
        <w:tc>
          <w:tcPr>
            <w:tcW w:w="5526" w:type="dxa"/>
            <w:vAlign w:val="center"/>
          </w:tcPr>
          <w:p w14:paraId="09889C86">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《中华人民共和国药品管理法》第三十六条；《药品经营和使用质量监督管理办法》第五条、第五十八条；《医疗机构药品监督管理办法》第二十四条。</w:t>
            </w:r>
          </w:p>
        </w:tc>
      </w:tr>
      <w:tr w14:paraId="44F7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752" w:type="dxa"/>
            <w:vMerge w:val="continue"/>
            <w:vAlign w:val="center"/>
          </w:tcPr>
          <w:p w14:paraId="611B565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2BDED9D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21</w:t>
            </w:r>
          </w:p>
        </w:tc>
        <w:tc>
          <w:tcPr>
            <w:tcW w:w="8511" w:type="dxa"/>
            <w:vAlign w:val="center"/>
          </w:tcPr>
          <w:p w14:paraId="072A08B4">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建立健全药品质量管理体系，完善药品购进、验收、储存、养护及使用等环节的质量管理制度，明确各环节中工作人员的岗位责任。医疗机构应当设置专门部门负责药品质量管理；未设专门部门的，应当指定专人负责药品质量管理。</w:t>
            </w:r>
          </w:p>
        </w:tc>
        <w:tc>
          <w:tcPr>
            <w:tcW w:w="5526" w:type="dxa"/>
            <w:vAlign w:val="center"/>
          </w:tcPr>
          <w:p w14:paraId="0F21CC3A">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《药品经营和使用质量监督管理办法》第四条、第五十一条；《医疗机构药品监督管理办法》第四条。</w:t>
            </w:r>
          </w:p>
        </w:tc>
      </w:tr>
      <w:tr w14:paraId="165A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52" w:type="dxa"/>
            <w:vMerge w:val="continue"/>
            <w:vAlign w:val="center"/>
          </w:tcPr>
          <w:p w14:paraId="3373A2B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1AAD432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22</w:t>
            </w:r>
          </w:p>
        </w:tc>
        <w:tc>
          <w:tcPr>
            <w:tcW w:w="8511" w:type="dxa"/>
            <w:vAlign w:val="center"/>
          </w:tcPr>
          <w:p w14:paraId="1E7F1F1B">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医疗机构应当向所在地药品监督管理部门提交药品质量管理年度自查报告，自查报告应当在本年度12月31日前提交。</w:t>
            </w:r>
          </w:p>
        </w:tc>
        <w:tc>
          <w:tcPr>
            <w:tcW w:w="5526" w:type="dxa"/>
            <w:vAlign w:val="center"/>
          </w:tcPr>
          <w:p w14:paraId="301A8A0D">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《医疗机构药品监督管理办法》第五条。</w:t>
            </w:r>
          </w:p>
        </w:tc>
      </w:tr>
      <w:tr w14:paraId="073D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52" w:type="dxa"/>
            <w:vMerge w:val="continue"/>
            <w:vAlign w:val="center"/>
          </w:tcPr>
          <w:p w14:paraId="47909AA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7D99AE0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23</w:t>
            </w:r>
          </w:p>
        </w:tc>
        <w:tc>
          <w:tcPr>
            <w:tcW w:w="8511" w:type="dxa"/>
            <w:vAlign w:val="center"/>
          </w:tcPr>
          <w:p w14:paraId="2E27E3F4">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医疗机构应当建立最小包装药品拆零调配管理制度，保证药品质量可追溯。</w:t>
            </w:r>
          </w:p>
        </w:tc>
        <w:tc>
          <w:tcPr>
            <w:tcW w:w="5526" w:type="dxa"/>
            <w:vAlign w:val="center"/>
          </w:tcPr>
          <w:p w14:paraId="03BC78DF">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《医疗机构药品监督管理办法》第二十条。</w:t>
            </w:r>
          </w:p>
        </w:tc>
      </w:tr>
      <w:tr w14:paraId="7DFD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52" w:type="dxa"/>
            <w:vMerge w:val="continue"/>
            <w:vAlign w:val="center"/>
          </w:tcPr>
          <w:p w14:paraId="28AE0B0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7BECF58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24</w:t>
            </w:r>
          </w:p>
        </w:tc>
        <w:tc>
          <w:tcPr>
            <w:tcW w:w="8511" w:type="dxa"/>
            <w:vAlign w:val="center"/>
          </w:tcPr>
          <w:p w14:paraId="7A971F7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医疗机构制剂室应有配制管理、质量管理的各项制度和记录。</w:t>
            </w:r>
          </w:p>
        </w:tc>
        <w:tc>
          <w:tcPr>
            <w:tcW w:w="5526" w:type="dxa"/>
            <w:vAlign w:val="center"/>
          </w:tcPr>
          <w:p w14:paraId="014D3941">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《医疗机构制剂配制质量管理规范》第四十九条。</w:t>
            </w:r>
          </w:p>
        </w:tc>
      </w:tr>
      <w:tr w14:paraId="11AE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vMerge w:val="continue"/>
            <w:vAlign w:val="center"/>
          </w:tcPr>
          <w:p w14:paraId="4D3B0F9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75168D4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25</w:t>
            </w:r>
          </w:p>
        </w:tc>
        <w:tc>
          <w:tcPr>
            <w:tcW w:w="8511" w:type="dxa"/>
            <w:vAlign w:val="center"/>
          </w:tcPr>
          <w:p w14:paraId="6E44E8C2">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医疗机构制剂质量管理组织应定期组织自检。自检应按预定的程序，按规定内容进行检查，以证实与本规范的一致性。</w:t>
            </w:r>
          </w:p>
          <w:p w14:paraId="4BBC4C87">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自检应有记录并写出自检报告，包括评价及改进措施等。</w:t>
            </w:r>
          </w:p>
        </w:tc>
        <w:tc>
          <w:tcPr>
            <w:tcW w:w="5526" w:type="dxa"/>
            <w:vAlign w:val="center"/>
          </w:tcPr>
          <w:p w14:paraId="019EF872">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《医疗机构制剂配制质量管理规范》第六十二条。</w:t>
            </w:r>
          </w:p>
        </w:tc>
      </w:tr>
      <w:tr w14:paraId="16AA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52" w:type="dxa"/>
            <w:vMerge w:val="continue"/>
            <w:vAlign w:val="center"/>
          </w:tcPr>
          <w:p w14:paraId="24BA4DC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185A0ED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26</w:t>
            </w:r>
          </w:p>
        </w:tc>
        <w:tc>
          <w:tcPr>
            <w:tcW w:w="8511" w:type="dxa"/>
            <w:vAlign w:val="center"/>
          </w:tcPr>
          <w:p w14:paraId="57FB8BA4">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处方药必须由执业医师或执业助理医师处方。医师处方必须遵循科学、合理、经济的原则，医疗机构应据此建立相应的管理制度。</w:t>
            </w:r>
          </w:p>
        </w:tc>
        <w:tc>
          <w:tcPr>
            <w:tcW w:w="5526" w:type="dxa"/>
            <w:vAlign w:val="center"/>
          </w:tcPr>
          <w:p w14:paraId="4AB35753">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《处方药与非处方药流通管理暂行规定》第十六条。</w:t>
            </w:r>
          </w:p>
        </w:tc>
      </w:tr>
      <w:tr w14:paraId="3CCF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52" w:type="dxa"/>
            <w:vMerge w:val="continue"/>
            <w:vAlign w:val="center"/>
          </w:tcPr>
          <w:p w14:paraId="50D378C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7CE9422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27</w:t>
            </w:r>
          </w:p>
        </w:tc>
        <w:tc>
          <w:tcPr>
            <w:tcW w:w="8511" w:type="dxa"/>
            <w:vAlign w:val="center"/>
          </w:tcPr>
          <w:p w14:paraId="42A07A82">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对医疗机构中药制剂的安全性、有效性及质量可控性负责，应当持续规范收集整理医疗机构中药制剂人用经验资料，并按年度向所在地省级药品监督管理部门提交医疗机构中药制剂人用经验收集整理与评估的报告。</w:t>
            </w:r>
          </w:p>
        </w:tc>
        <w:tc>
          <w:tcPr>
            <w:tcW w:w="5526" w:type="dxa"/>
            <w:vAlign w:val="center"/>
          </w:tcPr>
          <w:p w14:paraId="623FED81">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《中药注册管理专门规定》第二十五条。</w:t>
            </w:r>
          </w:p>
        </w:tc>
      </w:tr>
      <w:tr w14:paraId="450A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52" w:type="dxa"/>
            <w:vMerge w:val="restart"/>
            <w:vAlign w:val="center"/>
          </w:tcPr>
          <w:p w14:paraId="46EB17D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制度管理</w:t>
            </w:r>
          </w:p>
        </w:tc>
        <w:tc>
          <w:tcPr>
            <w:tcW w:w="770" w:type="dxa"/>
            <w:vAlign w:val="center"/>
          </w:tcPr>
          <w:p w14:paraId="1F0AA40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28</w:t>
            </w:r>
          </w:p>
        </w:tc>
        <w:tc>
          <w:tcPr>
            <w:tcW w:w="8511" w:type="dxa"/>
            <w:vAlign w:val="center"/>
          </w:tcPr>
          <w:p w14:paraId="596B6AD4">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医疗机构应当对麻醉药品和精神药品处方进行专册登记，加强管理。麻醉药品处方至少保存3年，精神药品处方至少保存2年。</w:t>
            </w:r>
          </w:p>
        </w:tc>
        <w:tc>
          <w:tcPr>
            <w:tcW w:w="5526" w:type="dxa"/>
            <w:vAlign w:val="center"/>
          </w:tcPr>
          <w:p w14:paraId="41DBD5D9">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《麻醉药品和精神药品管理条例》第四十一条。</w:t>
            </w:r>
          </w:p>
        </w:tc>
      </w:tr>
      <w:tr w14:paraId="222C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752" w:type="dxa"/>
            <w:vMerge w:val="continue"/>
            <w:vAlign w:val="center"/>
          </w:tcPr>
          <w:p w14:paraId="25B97C2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28714D2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29</w:t>
            </w:r>
          </w:p>
        </w:tc>
        <w:tc>
          <w:tcPr>
            <w:tcW w:w="8511" w:type="dxa"/>
            <w:vAlign w:val="center"/>
          </w:tcPr>
          <w:p w14:paraId="1641C7B6">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尚未连接监控信息网络的麻醉药品和精神药品使用单位，应当每月通过电子信息、传真、书面等方式，将本单位麻醉药品和精神药品生产、进货、销售、库存、使用的数量以及流向，报所在地设区的市级药品监督管理部门和公安机关</w:t>
            </w:r>
          </w:p>
        </w:tc>
        <w:tc>
          <w:tcPr>
            <w:tcW w:w="5526" w:type="dxa"/>
            <w:vAlign w:val="center"/>
          </w:tcPr>
          <w:p w14:paraId="0E4663A2">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《麻醉药品和精神药品管理条例》第五十九条。</w:t>
            </w:r>
          </w:p>
        </w:tc>
      </w:tr>
      <w:tr w14:paraId="78D4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52" w:type="dxa"/>
            <w:vMerge w:val="continue"/>
            <w:vAlign w:val="center"/>
          </w:tcPr>
          <w:p w14:paraId="5764761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04DF617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30</w:t>
            </w:r>
          </w:p>
        </w:tc>
        <w:tc>
          <w:tcPr>
            <w:tcW w:w="8511" w:type="dxa"/>
            <w:vAlign w:val="center"/>
          </w:tcPr>
          <w:p w14:paraId="42D51A5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pacing w:val="-6"/>
                <w:kern w:val="0"/>
                <w:sz w:val="18"/>
                <w:szCs w:val="18"/>
              </w:rPr>
            </w:pPr>
            <w:r>
              <w:rPr>
                <w:rFonts w:hint="eastAsia" w:ascii="方正仿宋_GBK" w:hAnsi="方正仿宋_GBK" w:eastAsia="方正仿宋_GBK" w:cs="方正仿宋_GBK"/>
                <w:spacing w:val="-6"/>
                <w:kern w:val="0"/>
                <w:sz w:val="18"/>
                <w:szCs w:val="18"/>
              </w:rPr>
              <w:t>医疗机构配制制剂，必须具有能够保证制剂质量的人员、设施、检验仪器、卫生条件和管理制度。</w:t>
            </w:r>
          </w:p>
        </w:tc>
        <w:tc>
          <w:tcPr>
            <w:tcW w:w="5526" w:type="dxa"/>
            <w:vAlign w:val="center"/>
          </w:tcPr>
          <w:p w14:paraId="73F70CD5">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pacing w:val="-6"/>
                <w:kern w:val="0"/>
                <w:sz w:val="18"/>
                <w:szCs w:val="18"/>
              </w:rPr>
            </w:pPr>
            <w:r>
              <w:rPr>
                <w:rFonts w:hint="eastAsia" w:ascii="方正仿宋_GBK" w:hAnsi="方正仿宋_GBK" w:eastAsia="方正仿宋_GBK" w:cs="方正仿宋_GBK"/>
                <w:spacing w:val="-6"/>
                <w:kern w:val="0"/>
                <w:sz w:val="18"/>
                <w:szCs w:val="18"/>
              </w:rPr>
              <w:t>《医疗机构制剂配制监督管理办法》第六条</w:t>
            </w:r>
            <w:r>
              <w:rPr>
                <w:rFonts w:hint="eastAsia" w:ascii="方正仿宋_GBK" w:hAnsi="方正仿宋_GBK" w:eastAsia="方正仿宋_GBK" w:cs="方正仿宋_GBK"/>
                <w:kern w:val="0"/>
                <w:sz w:val="18"/>
                <w:szCs w:val="18"/>
              </w:rPr>
              <w:t>。</w:t>
            </w:r>
          </w:p>
        </w:tc>
      </w:tr>
      <w:tr w14:paraId="536E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2" w:type="dxa"/>
            <w:vMerge w:val="continue"/>
            <w:vAlign w:val="center"/>
          </w:tcPr>
          <w:p w14:paraId="5394DC3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70F581C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31</w:t>
            </w:r>
          </w:p>
        </w:tc>
        <w:tc>
          <w:tcPr>
            <w:tcW w:w="8511" w:type="dxa"/>
            <w:vAlign w:val="center"/>
          </w:tcPr>
          <w:p w14:paraId="1877594C">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国家实行药品不良反应报告制度，医疗机构应当建立药品不良反应报告和监测管理制度，并按按照规定报告所发现的药品不良反应。</w:t>
            </w:r>
          </w:p>
        </w:tc>
        <w:tc>
          <w:tcPr>
            <w:tcW w:w="5526" w:type="dxa"/>
            <w:vAlign w:val="center"/>
          </w:tcPr>
          <w:p w14:paraId="458C9130">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《药品不良反应报告和监测管理办法》第三条、第十三条。</w:t>
            </w:r>
          </w:p>
        </w:tc>
      </w:tr>
      <w:tr w14:paraId="0B5B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52" w:type="dxa"/>
            <w:vMerge w:val="restart"/>
            <w:vAlign w:val="center"/>
          </w:tcPr>
          <w:p w14:paraId="4C7F139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经营场所与设施</w:t>
            </w:r>
          </w:p>
        </w:tc>
        <w:tc>
          <w:tcPr>
            <w:tcW w:w="770" w:type="dxa"/>
            <w:vAlign w:val="center"/>
          </w:tcPr>
          <w:p w14:paraId="0DE65B3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32</w:t>
            </w:r>
          </w:p>
        </w:tc>
        <w:tc>
          <w:tcPr>
            <w:tcW w:w="8511" w:type="dxa"/>
            <w:vAlign w:val="center"/>
          </w:tcPr>
          <w:p w14:paraId="7BE98F81">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医疗机构配制制剂，应当有能够保证制剂质量的设施、管理制度、检验仪器和卫生环境。医疗机构用于调配药品的工具、设施、包装用品以及调配药品的区域，应当符合卫生要求及相应的调配要求。</w:t>
            </w:r>
          </w:p>
        </w:tc>
        <w:tc>
          <w:tcPr>
            <w:tcW w:w="5526" w:type="dxa"/>
            <w:vAlign w:val="center"/>
          </w:tcPr>
          <w:p w14:paraId="7D4824B8">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《中华人民共和国药品管理法》第七十五条；《医疗机构药品监督管理办法》第十九条。</w:t>
            </w:r>
          </w:p>
        </w:tc>
      </w:tr>
      <w:tr w14:paraId="7359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52" w:type="dxa"/>
            <w:vMerge w:val="continue"/>
            <w:vAlign w:val="center"/>
          </w:tcPr>
          <w:p w14:paraId="474B514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04B9A32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33</w:t>
            </w:r>
          </w:p>
        </w:tc>
        <w:tc>
          <w:tcPr>
            <w:tcW w:w="8511" w:type="dxa"/>
            <w:vAlign w:val="center"/>
          </w:tcPr>
          <w:p w14:paraId="7738B73A">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医疗机构制剂配制应在药剂部门设制剂室、药检室。</w:t>
            </w:r>
          </w:p>
        </w:tc>
        <w:tc>
          <w:tcPr>
            <w:tcW w:w="5526" w:type="dxa"/>
            <w:vAlign w:val="center"/>
          </w:tcPr>
          <w:p w14:paraId="138B683D">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pacing w:val="-6"/>
                <w:kern w:val="0"/>
                <w:sz w:val="18"/>
                <w:szCs w:val="18"/>
              </w:rPr>
            </w:pPr>
            <w:r>
              <w:rPr>
                <w:rFonts w:hint="eastAsia" w:ascii="方正仿宋_GBK" w:hAnsi="方正仿宋_GBK" w:eastAsia="方正仿宋_GBK" w:cs="方正仿宋_GBK"/>
                <w:spacing w:val="-6"/>
                <w:kern w:val="0"/>
                <w:sz w:val="18"/>
                <w:szCs w:val="18"/>
              </w:rPr>
              <w:t>《医疗机构制剂配制质量管理规范》第六条</w:t>
            </w:r>
            <w:r>
              <w:rPr>
                <w:rFonts w:hint="eastAsia" w:ascii="方正仿宋_GBK" w:hAnsi="方正仿宋_GBK" w:eastAsia="方正仿宋_GBK" w:cs="方正仿宋_GBK"/>
                <w:kern w:val="0"/>
                <w:sz w:val="18"/>
                <w:szCs w:val="18"/>
              </w:rPr>
              <w:t>。</w:t>
            </w:r>
          </w:p>
        </w:tc>
      </w:tr>
      <w:tr w14:paraId="49BB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52" w:type="dxa"/>
            <w:vMerge w:val="continue"/>
            <w:vAlign w:val="center"/>
          </w:tcPr>
          <w:p w14:paraId="5D47BBC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4F61CE0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34</w:t>
            </w:r>
          </w:p>
        </w:tc>
        <w:tc>
          <w:tcPr>
            <w:tcW w:w="8511" w:type="dxa"/>
            <w:vAlign w:val="center"/>
          </w:tcPr>
          <w:p w14:paraId="16A00F4D">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医疗机构不得与其他单位共用配制场所、配制设备及检验设施等。</w:t>
            </w:r>
          </w:p>
        </w:tc>
        <w:tc>
          <w:tcPr>
            <w:tcW w:w="5526" w:type="dxa"/>
            <w:vAlign w:val="center"/>
          </w:tcPr>
          <w:p w14:paraId="08CB8EAD">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《医疗机构制剂配制监督管理办法》第十四条。</w:t>
            </w:r>
          </w:p>
        </w:tc>
      </w:tr>
      <w:tr w14:paraId="5213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vMerge w:val="restart"/>
            <w:vAlign w:val="center"/>
          </w:tcPr>
          <w:p w14:paraId="67EC936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人员管理</w:t>
            </w:r>
          </w:p>
        </w:tc>
        <w:tc>
          <w:tcPr>
            <w:tcW w:w="770" w:type="dxa"/>
            <w:vAlign w:val="center"/>
          </w:tcPr>
          <w:p w14:paraId="7B168E6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35</w:t>
            </w:r>
          </w:p>
        </w:tc>
        <w:tc>
          <w:tcPr>
            <w:tcW w:w="8511" w:type="dxa"/>
            <w:vAlign w:val="center"/>
          </w:tcPr>
          <w:p w14:paraId="1AB8BB31">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医疗机构中直接接触药品的工作人员，应当每年进行健康检查并建立健康档案。患有传染病或者其他可能污染药品的疾病的，不得从事直接接触药品的工作。</w:t>
            </w:r>
          </w:p>
        </w:tc>
        <w:tc>
          <w:tcPr>
            <w:tcW w:w="5526" w:type="dxa"/>
            <w:vAlign w:val="center"/>
          </w:tcPr>
          <w:p w14:paraId="790C3E88">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《中华人民共和国药品管理法》第五十条；《医疗机构药品监督管理办法》第二十五条。</w:t>
            </w:r>
          </w:p>
        </w:tc>
      </w:tr>
      <w:tr w14:paraId="4086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52" w:type="dxa"/>
            <w:vMerge w:val="continue"/>
            <w:vAlign w:val="center"/>
          </w:tcPr>
          <w:p w14:paraId="1FD0EE7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2DDC2D8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36</w:t>
            </w:r>
          </w:p>
        </w:tc>
        <w:tc>
          <w:tcPr>
            <w:tcW w:w="8511" w:type="dxa"/>
            <w:vAlign w:val="center"/>
          </w:tcPr>
          <w:p w14:paraId="5AB86482">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配备依法经过资格认定的药师或者其他药学技术人员，负责本单位的药品管理、处方审核和调配、合理用药指导等工作。非药学技术人员不得直接从事药剂技术工作。医疗机构应当定期组织从事药品购进、保管、养护、验收、调配、使用的人员参加药事法规和药学专业知识的培训，并建立培训档案。</w:t>
            </w:r>
          </w:p>
        </w:tc>
        <w:tc>
          <w:tcPr>
            <w:tcW w:w="5526" w:type="dxa"/>
            <w:vAlign w:val="center"/>
          </w:tcPr>
          <w:p w14:paraId="02676976">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《中华人民共和国药品管理法》第六十九条；《医疗机构药品监督管理办法》第二十六条。</w:t>
            </w:r>
          </w:p>
        </w:tc>
      </w:tr>
      <w:tr w14:paraId="6D59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52" w:type="dxa"/>
            <w:vMerge w:val="restart"/>
            <w:vAlign w:val="center"/>
          </w:tcPr>
          <w:p w14:paraId="1568AF9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人员管理</w:t>
            </w:r>
          </w:p>
        </w:tc>
        <w:tc>
          <w:tcPr>
            <w:tcW w:w="770" w:type="dxa"/>
            <w:vAlign w:val="center"/>
          </w:tcPr>
          <w:p w14:paraId="291B80B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37</w:t>
            </w:r>
          </w:p>
        </w:tc>
        <w:tc>
          <w:tcPr>
            <w:tcW w:w="8511" w:type="dxa"/>
            <w:vAlign w:val="center"/>
          </w:tcPr>
          <w:p w14:paraId="73E010C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医疗机构审核和调配处方的药剂人员必须是依法经资格认定的药学技术人员。医疗机构应当</w:t>
            </w:r>
            <w:r>
              <w:rPr>
                <w:rFonts w:hint="eastAsia" w:ascii="方正仿宋_GBK" w:hAnsi="方正仿宋_GBK" w:eastAsia="方正仿宋_GBK" w:cs="方正仿宋_GBK"/>
                <w:spacing w:val="-4"/>
                <w:kern w:val="0"/>
                <w:sz w:val="18"/>
                <w:szCs w:val="18"/>
              </w:rPr>
              <w:t>配备与药品调配和使用相适应的、依法经资格认定的药学技术人员负责处方的审核、调配工作。</w:t>
            </w:r>
          </w:p>
        </w:tc>
        <w:tc>
          <w:tcPr>
            <w:tcW w:w="5526" w:type="dxa"/>
            <w:vAlign w:val="center"/>
          </w:tcPr>
          <w:p w14:paraId="64F156ED">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《中华人民共和国药品管理法实施条例》第二十五条；《医疗机构药品监督管理办法》第十八条。</w:t>
            </w:r>
          </w:p>
        </w:tc>
      </w:tr>
      <w:tr w14:paraId="1A60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2" w:type="dxa"/>
            <w:vMerge w:val="continue"/>
            <w:vAlign w:val="center"/>
          </w:tcPr>
          <w:p w14:paraId="795D3C5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305CA3C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38</w:t>
            </w:r>
          </w:p>
        </w:tc>
        <w:tc>
          <w:tcPr>
            <w:tcW w:w="8511" w:type="dxa"/>
            <w:vAlign w:val="center"/>
          </w:tcPr>
          <w:p w14:paraId="12B1DF85">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医疗机构制剂配制应在药剂部门设质量管理组织，机构与岗位人员的职责应明确，并配备具有相应素质及相应数量的专业技术人员。</w:t>
            </w:r>
          </w:p>
        </w:tc>
        <w:tc>
          <w:tcPr>
            <w:tcW w:w="5526" w:type="dxa"/>
            <w:vAlign w:val="center"/>
          </w:tcPr>
          <w:p w14:paraId="42F63CA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《医疗机构制剂配制质量管理规范》第六条。</w:t>
            </w:r>
          </w:p>
        </w:tc>
      </w:tr>
      <w:tr w14:paraId="0706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vMerge w:val="continue"/>
            <w:vAlign w:val="center"/>
          </w:tcPr>
          <w:p w14:paraId="611E8B5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267C46B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39</w:t>
            </w:r>
          </w:p>
        </w:tc>
        <w:tc>
          <w:tcPr>
            <w:tcW w:w="8511" w:type="dxa"/>
            <w:vAlign w:val="center"/>
          </w:tcPr>
          <w:p w14:paraId="3671635C">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医疗机构应当设立或者指定机构并配备专（兼）职人员，承担本单位的药品不良反应报告和监测工作。</w:t>
            </w:r>
          </w:p>
        </w:tc>
        <w:tc>
          <w:tcPr>
            <w:tcW w:w="5526" w:type="dxa"/>
            <w:vAlign w:val="center"/>
          </w:tcPr>
          <w:p w14:paraId="2447F8C8">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《药品不良反应报告和监测管理办法》第十三条。</w:t>
            </w:r>
          </w:p>
        </w:tc>
      </w:tr>
      <w:tr w14:paraId="0DD0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52" w:type="dxa"/>
            <w:vMerge w:val="continue"/>
            <w:vAlign w:val="center"/>
          </w:tcPr>
          <w:p w14:paraId="7CD8CEA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7D3AC49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40</w:t>
            </w:r>
          </w:p>
        </w:tc>
        <w:tc>
          <w:tcPr>
            <w:tcW w:w="8511" w:type="dxa"/>
            <w:vAlign w:val="center"/>
          </w:tcPr>
          <w:p w14:paraId="219AB204">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医疗单位设置核医学科、室（同位素室），必须配备与其医疗任务相适应的并经核医学技术培训的技术人员。非核医学专业技术人员未经培训，不得从事放射性药品使用工作。</w:t>
            </w:r>
          </w:p>
        </w:tc>
        <w:tc>
          <w:tcPr>
            <w:tcW w:w="5526" w:type="dxa"/>
            <w:vAlign w:val="center"/>
          </w:tcPr>
          <w:p w14:paraId="1254AF11">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《放射性药品管理办法》第二十条。</w:t>
            </w:r>
          </w:p>
        </w:tc>
      </w:tr>
      <w:tr w14:paraId="120F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52" w:type="dxa"/>
            <w:vMerge w:val="restart"/>
            <w:vAlign w:val="center"/>
          </w:tcPr>
          <w:p w14:paraId="64D01B5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进货查验</w:t>
            </w:r>
          </w:p>
        </w:tc>
        <w:tc>
          <w:tcPr>
            <w:tcW w:w="770" w:type="dxa"/>
            <w:vAlign w:val="center"/>
          </w:tcPr>
          <w:p w14:paraId="57C7B01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41</w:t>
            </w:r>
          </w:p>
        </w:tc>
        <w:tc>
          <w:tcPr>
            <w:tcW w:w="8511" w:type="dxa"/>
            <w:vAlign w:val="center"/>
          </w:tcPr>
          <w:p w14:paraId="50EBBBF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从药品上市许可持有人或者具有药品生产、经营资格的企业购进药品；但是，购进未实施审批管理的中药材除外。医疗机构使用的药品应当按照规定由专门部门统一采购，禁止医疗机构其他科室和医务人员自行采购。</w:t>
            </w:r>
          </w:p>
        </w:tc>
        <w:tc>
          <w:tcPr>
            <w:tcW w:w="5526" w:type="dxa"/>
            <w:vAlign w:val="center"/>
          </w:tcPr>
          <w:p w14:paraId="293D21B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《中华人民共和国药品管理法》第五十五条；《医疗机构药品监督管理办法》第六条。</w:t>
            </w:r>
          </w:p>
        </w:tc>
      </w:tr>
      <w:tr w14:paraId="1FCE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jc w:val="center"/>
        </w:trPr>
        <w:tc>
          <w:tcPr>
            <w:tcW w:w="752" w:type="dxa"/>
            <w:vMerge w:val="continue"/>
            <w:vAlign w:val="center"/>
          </w:tcPr>
          <w:p w14:paraId="317B666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1045D54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42</w:t>
            </w:r>
          </w:p>
        </w:tc>
        <w:tc>
          <w:tcPr>
            <w:tcW w:w="8511" w:type="dxa"/>
            <w:vAlign w:val="center"/>
          </w:tcPr>
          <w:p w14:paraId="2ECE287F">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购进药品，应当建立并执行进货检查验收制度，验明药品合格证明和其他标识；不符合规定要求的，不得购进和使用。应当逐批验收，必须有真实、完整的药品购进记录。药品购进记录必须注明药品的通用名称、剂型、规格、批号、有效期、生产厂商、供货单位、购货数量、购进价格、购货日期以及国务院药品监督管理部门规定的其他内容。药品购进验收记录保存不得少于三年，且不少于药品有效期满后一年。应当核实供货单位的药品生产许可证或者药品经营许可证和营业执照、授权委托书以及药品批准证明文件、药品合格证明等有效证明文件，并核实销售人员持有的授权书原件和身份证原件。首次购进药品的，应当妥善保存加盖供货单位印章的上述材料复印件，保存期限不得少于五年。应当索取、留存合法票据，并建立购进记录，做到票、账、货相符，包括税票及详细清单，清单上应当载明供货</w:t>
            </w:r>
            <w:r>
              <w:rPr>
                <w:rFonts w:hint="eastAsia" w:ascii="方正仿宋_GBK" w:hAnsi="方正仿宋_GBK" w:eastAsia="方正仿宋_GBK" w:cs="方正仿宋_GBK"/>
                <w:spacing w:val="-4"/>
                <w:kern w:val="0"/>
                <w:sz w:val="18"/>
                <w:szCs w:val="18"/>
              </w:rPr>
              <w:t>单位名称、药品通用名称、药品上市许可持有人（中药饮片标明生产企业、产地）、批准文号、产品批号、剂型、规格、销售数量、销售价格等内容。票据保存不得少于三年，且不少于药品有效期满后一年。医疗机构接受捐赠药品、从其他医疗机构调入急救药品应当遵守本条规定。</w:t>
            </w:r>
          </w:p>
        </w:tc>
        <w:tc>
          <w:tcPr>
            <w:tcW w:w="5526" w:type="dxa"/>
            <w:vAlign w:val="center"/>
          </w:tcPr>
          <w:p w14:paraId="37526163">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条；《中华人民共和国药品管理法实施条例》第二十六条；《药品经营和使用质量监督管理办法》第五十二条、第五十三条；《医疗机构药品监督管理办法》第七条、第八条、第九条、第十条。</w:t>
            </w:r>
          </w:p>
        </w:tc>
      </w:tr>
      <w:tr w14:paraId="00E5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52" w:type="dxa"/>
            <w:vAlign w:val="center"/>
          </w:tcPr>
          <w:p w14:paraId="522A7EF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进货查验</w:t>
            </w:r>
          </w:p>
        </w:tc>
        <w:tc>
          <w:tcPr>
            <w:tcW w:w="770" w:type="dxa"/>
            <w:vAlign w:val="center"/>
          </w:tcPr>
          <w:p w14:paraId="417F0AA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43</w:t>
            </w:r>
          </w:p>
        </w:tc>
        <w:tc>
          <w:tcPr>
            <w:tcW w:w="8511" w:type="dxa"/>
            <w:vAlign w:val="center"/>
          </w:tcPr>
          <w:p w14:paraId="5800048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医疗机构应当建立健全中药饮片采购制度，按照国家有关规定购进中药饮片。</w:t>
            </w:r>
          </w:p>
        </w:tc>
        <w:tc>
          <w:tcPr>
            <w:tcW w:w="5526" w:type="dxa"/>
            <w:vAlign w:val="center"/>
          </w:tcPr>
          <w:p w14:paraId="5487750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《医疗机构药品监督管理办法》第十一条。</w:t>
            </w:r>
          </w:p>
        </w:tc>
      </w:tr>
      <w:tr w14:paraId="66E8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52" w:type="dxa"/>
            <w:vMerge w:val="restart"/>
            <w:vAlign w:val="center"/>
          </w:tcPr>
          <w:p w14:paraId="05D3738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储存养护</w:t>
            </w:r>
          </w:p>
        </w:tc>
        <w:tc>
          <w:tcPr>
            <w:tcW w:w="770" w:type="dxa"/>
            <w:vAlign w:val="center"/>
          </w:tcPr>
          <w:p w14:paraId="26D3570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44</w:t>
            </w:r>
          </w:p>
        </w:tc>
        <w:tc>
          <w:tcPr>
            <w:tcW w:w="8511" w:type="dxa"/>
            <w:vAlign w:val="center"/>
          </w:tcPr>
          <w:p w14:paraId="54B08C8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医疗机构应当有与所使用药品相适应的场所、设备、仓储设施和卫生环境，制定和执行药品保管制度，采取必要的冷藏、防冻、防潮、防虫、防鼠等措施，保证药品质量。</w:t>
            </w:r>
          </w:p>
        </w:tc>
        <w:tc>
          <w:tcPr>
            <w:tcW w:w="5526" w:type="dxa"/>
            <w:vAlign w:val="center"/>
          </w:tcPr>
          <w:p w14:paraId="5FECD81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《中华人民共和国药品管理法》第七十一条。</w:t>
            </w:r>
          </w:p>
        </w:tc>
      </w:tr>
      <w:tr w14:paraId="4837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752" w:type="dxa"/>
            <w:vMerge w:val="continue"/>
            <w:vAlign w:val="center"/>
          </w:tcPr>
          <w:p w14:paraId="6D068C5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70FF535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45</w:t>
            </w:r>
          </w:p>
        </w:tc>
        <w:tc>
          <w:tcPr>
            <w:tcW w:w="8511" w:type="dxa"/>
            <w:vAlign w:val="center"/>
          </w:tcPr>
          <w:p w14:paraId="04216DD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制定并执行药品储存、养护制度，配备专用场所和设施设备储存药品，做好储存、养护记录，确保药品储存符合药品说明书标明的条件。医疗机构需要在急诊室、病区护士站等场所临时存放药品的，应当配备符合药品存放条件的专柜。有特殊存放要求的，应当配备相应设备。</w:t>
            </w:r>
          </w:p>
          <w:p w14:paraId="233FB9D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储存药品，根据药品属性和类别分库、分区、分垛储存药品，并实行色标管理。药品与非药品分开存放；中药饮片、中成药、化学药、生物制品分类存放；过期、变质、被污染等的药品应当放置在不合格库（区）；麻醉药品、精神药品、医疗用毒性药品、放射性药品、药品类易制毒化学品以及易燃、易爆、强腐蚀等危险性药品应当按照相关规定存放，并采取必要的安全措施。</w:t>
            </w:r>
          </w:p>
        </w:tc>
        <w:tc>
          <w:tcPr>
            <w:tcW w:w="5526" w:type="dxa"/>
            <w:vAlign w:val="center"/>
          </w:tcPr>
          <w:p w14:paraId="38394D5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《药品经营和使用质量监督管理办法》第五十四条；《医疗机构药品监督管理办法》第十二条、第十三条。</w:t>
            </w:r>
          </w:p>
        </w:tc>
      </w:tr>
      <w:tr w14:paraId="4BDB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752" w:type="dxa"/>
            <w:vMerge w:val="continue"/>
            <w:vAlign w:val="center"/>
          </w:tcPr>
          <w:p w14:paraId="5AEC1F9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0B21E37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46</w:t>
            </w:r>
          </w:p>
        </w:tc>
        <w:tc>
          <w:tcPr>
            <w:tcW w:w="8511" w:type="dxa"/>
            <w:vAlign w:val="center"/>
          </w:tcPr>
          <w:p w14:paraId="393E8C8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制定和执行药品保管、养护管理制度，并采取必要的控温、防潮、避光、通风、防火、防虫、防鼠、防污染等措施，保证药品质量。医疗机构应当配备药品养护人员，定期对储存药品进行检查和养护，监测和记录储存区域的温湿度，维护储存设施设备，并建立相应的养护档案。</w:t>
            </w:r>
          </w:p>
        </w:tc>
        <w:tc>
          <w:tcPr>
            <w:tcW w:w="5526" w:type="dxa"/>
            <w:vAlign w:val="center"/>
          </w:tcPr>
          <w:p w14:paraId="77539C7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《药品经营和使用质量监督管理办法》第五十五条；《医疗机构药品监督管理办法》第十四条、第十五条。</w:t>
            </w:r>
          </w:p>
        </w:tc>
      </w:tr>
      <w:tr w14:paraId="46E1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52" w:type="dxa"/>
            <w:vMerge w:val="continue"/>
            <w:vAlign w:val="center"/>
          </w:tcPr>
          <w:p w14:paraId="7E2C40A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76A140C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47</w:t>
            </w:r>
          </w:p>
        </w:tc>
        <w:tc>
          <w:tcPr>
            <w:tcW w:w="8511" w:type="dxa"/>
            <w:vAlign w:val="center"/>
          </w:tcPr>
          <w:p w14:paraId="54B3C9C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医疗机构应当建立药品效期管理制度。药品发放应当遵循“近效期先出”的原则。</w:t>
            </w:r>
          </w:p>
        </w:tc>
        <w:tc>
          <w:tcPr>
            <w:tcW w:w="5526" w:type="dxa"/>
            <w:vAlign w:val="center"/>
          </w:tcPr>
          <w:p w14:paraId="1F75910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《医疗机构药品监督管理办法》第十六条。</w:t>
            </w:r>
          </w:p>
        </w:tc>
      </w:tr>
      <w:tr w14:paraId="1CF1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752" w:type="dxa"/>
            <w:vMerge w:val="restart"/>
            <w:vAlign w:val="center"/>
          </w:tcPr>
          <w:p w14:paraId="17E46ED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购销管理</w:t>
            </w:r>
          </w:p>
        </w:tc>
        <w:tc>
          <w:tcPr>
            <w:tcW w:w="770" w:type="dxa"/>
            <w:vAlign w:val="center"/>
          </w:tcPr>
          <w:p w14:paraId="3D67ABF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48</w:t>
            </w:r>
          </w:p>
        </w:tc>
        <w:tc>
          <w:tcPr>
            <w:tcW w:w="8511" w:type="dxa"/>
            <w:vAlign w:val="center"/>
          </w:tcPr>
          <w:p w14:paraId="2A2152C3">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依法实行市场调节价的药品，医疗机构应当按照公平、合理和诚实信用、质价相符的原则制定价格，为用药者提供价格合理的药品。</w:t>
            </w:r>
          </w:p>
          <w:p w14:paraId="0DBE7018">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医疗机构应当遵守国务院药品价格主管部门关于药品价格管理的规定，制定和标明药品零售价格，禁止暴利、价格垄断和价格欺诈等行为。</w:t>
            </w:r>
          </w:p>
        </w:tc>
        <w:tc>
          <w:tcPr>
            <w:tcW w:w="5526" w:type="dxa"/>
            <w:vAlign w:val="center"/>
          </w:tcPr>
          <w:p w14:paraId="0C5BD67F">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《中华人民共和国药品管理法》第八十五条。</w:t>
            </w:r>
          </w:p>
        </w:tc>
      </w:tr>
      <w:tr w14:paraId="5CDC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52" w:type="dxa"/>
            <w:vMerge w:val="continue"/>
            <w:vAlign w:val="center"/>
          </w:tcPr>
          <w:p w14:paraId="0254B13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4EFF57B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49</w:t>
            </w:r>
          </w:p>
        </w:tc>
        <w:tc>
          <w:tcPr>
            <w:tcW w:w="8511" w:type="dxa"/>
            <w:vAlign w:val="center"/>
          </w:tcPr>
          <w:p w14:paraId="4A5C451D">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医疗机构应当依法向药品价格主管部门提供其药品的实际购销价格和购销数量等资料。</w:t>
            </w:r>
          </w:p>
        </w:tc>
        <w:tc>
          <w:tcPr>
            <w:tcW w:w="5526" w:type="dxa"/>
            <w:vAlign w:val="center"/>
          </w:tcPr>
          <w:p w14:paraId="1E5610B8">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《中华人民共和国药品管理法》第八十六条。</w:t>
            </w:r>
          </w:p>
        </w:tc>
      </w:tr>
      <w:tr w14:paraId="16FC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2" w:type="dxa"/>
            <w:vMerge w:val="continue"/>
            <w:vAlign w:val="center"/>
          </w:tcPr>
          <w:p w14:paraId="2781455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1E46434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50</w:t>
            </w:r>
          </w:p>
        </w:tc>
        <w:tc>
          <w:tcPr>
            <w:tcW w:w="8511" w:type="dxa"/>
            <w:vAlign w:val="center"/>
          </w:tcPr>
          <w:p w14:paraId="4A8B234B">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医疗机构应当向患者提供所用药品的价格清单，按照规定如实公布其常用药品的价格，加强合理用药管理。</w:t>
            </w:r>
          </w:p>
        </w:tc>
        <w:tc>
          <w:tcPr>
            <w:tcW w:w="5526" w:type="dxa"/>
            <w:vAlign w:val="center"/>
          </w:tcPr>
          <w:p w14:paraId="2A6E5DF5">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《中华人民共和国药品管理法》第八十七条。</w:t>
            </w:r>
          </w:p>
        </w:tc>
      </w:tr>
      <w:tr w14:paraId="64BF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2" w:type="dxa"/>
            <w:vMerge w:val="continue"/>
            <w:vAlign w:val="center"/>
          </w:tcPr>
          <w:p w14:paraId="533E6FF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4BFAFFE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51</w:t>
            </w:r>
          </w:p>
        </w:tc>
        <w:tc>
          <w:tcPr>
            <w:tcW w:w="8511" w:type="dxa"/>
            <w:vAlign w:val="center"/>
          </w:tcPr>
          <w:p w14:paraId="082E252E">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禁止医疗机构在药品购销中给予、收受回扣或者其他不正当利益。禁止医疗机构的负责人、药品采购人员、医师、药师等有关人员以任何名义收受药品上市许可持有人、药品生产企业、药品经营企业或者代理人给予的财物或者其他不正当利益。</w:t>
            </w:r>
          </w:p>
        </w:tc>
        <w:tc>
          <w:tcPr>
            <w:tcW w:w="5526" w:type="dxa"/>
            <w:vAlign w:val="center"/>
          </w:tcPr>
          <w:p w14:paraId="1A7589C3">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《中华人民共和国药品管理法》第八十八条。</w:t>
            </w:r>
          </w:p>
        </w:tc>
      </w:tr>
      <w:tr w14:paraId="2332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52" w:type="dxa"/>
            <w:vMerge w:val="continue"/>
            <w:vAlign w:val="center"/>
          </w:tcPr>
          <w:p w14:paraId="409BE0F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5A31BB3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52</w:t>
            </w:r>
          </w:p>
        </w:tc>
        <w:tc>
          <w:tcPr>
            <w:tcW w:w="8511" w:type="dxa"/>
            <w:vAlign w:val="center"/>
          </w:tcPr>
          <w:p w14:paraId="0416E84D">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医疗机构配制的制剂不得在市场上销售或者变相销售，不得发布医疗机构制剂广告。</w:t>
            </w:r>
          </w:p>
        </w:tc>
        <w:tc>
          <w:tcPr>
            <w:tcW w:w="5526" w:type="dxa"/>
            <w:vAlign w:val="center"/>
          </w:tcPr>
          <w:p w14:paraId="61DCA052">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《中华人民共和国药品管理法》第七十六条；《中华人民共和国药品管理法实施条例》第二十四条。</w:t>
            </w:r>
          </w:p>
        </w:tc>
      </w:tr>
      <w:tr w14:paraId="2905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752" w:type="dxa"/>
            <w:vMerge w:val="continue"/>
            <w:vAlign w:val="center"/>
          </w:tcPr>
          <w:p w14:paraId="212B387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57789D0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53</w:t>
            </w:r>
          </w:p>
        </w:tc>
        <w:tc>
          <w:tcPr>
            <w:tcW w:w="8511" w:type="dxa"/>
            <w:vAlign w:val="center"/>
          </w:tcPr>
          <w:p w14:paraId="5F828DD1">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向患者提供的药品应当与诊疗范围相适应，并凭执业医师或者执业助理医师的处方调配。计划生育技术服务机构采购和向患者提供药品，其范围应当与经批准的服务范围相一致，并凭执业医师或者执业助理医师的处方调配。个人设置的门诊部、诊所等医疗机构不得配备常用药品和急救药品以外的其他药品。</w:t>
            </w:r>
          </w:p>
        </w:tc>
        <w:tc>
          <w:tcPr>
            <w:tcW w:w="5526" w:type="dxa"/>
            <w:vAlign w:val="center"/>
          </w:tcPr>
          <w:p w14:paraId="6EB51920">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《中华人民共和国药品管理法实施条例》第二十七条。</w:t>
            </w:r>
          </w:p>
        </w:tc>
      </w:tr>
      <w:tr w14:paraId="070D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52" w:type="dxa"/>
            <w:vMerge w:val="continue"/>
            <w:vAlign w:val="center"/>
          </w:tcPr>
          <w:p w14:paraId="4AEB644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2930F65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54</w:t>
            </w:r>
          </w:p>
        </w:tc>
        <w:tc>
          <w:tcPr>
            <w:tcW w:w="8511" w:type="dxa"/>
            <w:vAlign w:val="center"/>
          </w:tcPr>
          <w:p w14:paraId="51A785C0">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医疗机构不得采用邮售、互联网交易、柜台开架自选等方式直接向公众销售处方药。</w:t>
            </w:r>
          </w:p>
        </w:tc>
        <w:tc>
          <w:tcPr>
            <w:tcW w:w="5526" w:type="dxa"/>
            <w:vAlign w:val="center"/>
          </w:tcPr>
          <w:p w14:paraId="3536BFD2">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《医疗机构药品监督管理办法》第二十三条。</w:t>
            </w:r>
          </w:p>
        </w:tc>
      </w:tr>
      <w:tr w14:paraId="2F36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52" w:type="dxa"/>
            <w:vMerge w:val="continue"/>
            <w:vAlign w:val="center"/>
          </w:tcPr>
          <w:p w14:paraId="5568B9F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55A8C72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55</w:t>
            </w:r>
          </w:p>
        </w:tc>
        <w:tc>
          <w:tcPr>
            <w:tcW w:w="8511" w:type="dxa"/>
            <w:vAlign w:val="center"/>
          </w:tcPr>
          <w:p w14:paraId="2DD2F1CD">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通过互联网进行药品交易的医疗机构及其交易的药品，必须符合《中华人民共和国药品管理法》和本条例的规定。</w:t>
            </w:r>
          </w:p>
        </w:tc>
        <w:tc>
          <w:tcPr>
            <w:tcW w:w="5526" w:type="dxa"/>
            <w:vAlign w:val="center"/>
          </w:tcPr>
          <w:p w14:paraId="2B7DE0AB">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《中华人民共和国药品管理法实施条例》第十九条。</w:t>
            </w:r>
          </w:p>
        </w:tc>
      </w:tr>
      <w:tr w14:paraId="5060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2" w:type="dxa"/>
            <w:vAlign w:val="center"/>
          </w:tcPr>
          <w:p w14:paraId="0488700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购销管理</w:t>
            </w:r>
          </w:p>
        </w:tc>
        <w:tc>
          <w:tcPr>
            <w:tcW w:w="770" w:type="dxa"/>
            <w:vAlign w:val="center"/>
          </w:tcPr>
          <w:p w14:paraId="048601B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56</w:t>
            </w:r>
          </w:p>
        </w:tc>
        <w:tc>
          <w:tcPr>
            <w:tcW w:w="8511" w:type="dxa"/>
            <w:vAlign w:val="center"/>
          </w:tcPr>
          <w:p w14:paraId="08D4C11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医疗机构配制的麻醉药品和精神药品制剂只能在本医疗机构使用，不得对外销售。</w:t>
            </w:r>
          </w:p>
        </w:tc>
        <w:tc>
          <w:tcPr>
            <w:tcW w:w="5526" w:type="dxa"/>
            <w:vAlign w:val="center"/>
          </w:tcPr>
          <w:p w14:paraId="03C3ADB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《麻醉药品和精神药品管理条例》第四十三条。</w:t>
            </w:r>
          </w:p>
        </w:tc>
      </w:tr>
      <w:tr w14:paraId="62DC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vMerge w:val="restart"/>
            <w:vAlign w:val="center"/>
          </w:tcPr>
          <w:p w14:paraId="25F93E8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使用管理</w:t>
            </w:r>
          </w:p>
        </w:tc>
        <w:tc>
          <w:tcPr>
            <w:tcW w:w="770" w:type="dxa"/>
            <w:vAlign w:val="center"/>
          </w:tcPr>
          <w:p w14:paraId="24A8370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57</w:t>
            </w:r>
          </w:p>
        </w:tc>
        <w:tc>
          <w:tcPr>
            <w:tcW w:w="8511" w:type="dxa"/>
            <w:vAlign w:val="center"/>
          </w:tcPr>
          <w:p w14:paraId="089EECF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依法经过资格认定的药师或者其他药学技术人员调配处方，应当进行核对，对处方所列药品不得擅自更改或者代用。对有配伍禁忌或者超剂量的处方，应当拒绝调配；必要时，经处方医师更正或者重新签字，方可调配。</w:t>
            </w:r>
          </w:p>
        </w:tc>
        <w:tc>
          <w:tcPr>
            <w:tcW w:w="5526" w:type="dxa"/>
            <w:vAlign w:val="center"/>
          </w:tcPr>
          <w:p w14:paraId="4A7A865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《中华人民共和国药品管理法》第七十三条。</w:t>
            </w:r>
          </w:p>
        </w:tc>
      </w:tr>
      <w:tr w14:paraId="3CC1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2" w:type="dxa"/>
            <w:vMerge w:val="continue"/>
            <w:vAlign w:val="center"/>
          </w:tcPr>
          <w:p w14:paraId="71F208B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00B3355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58</w:t>
            </w:r>
          </w:p>
        </w:tc>
        <w:tc>
          <w:tcPr>
            <w:tcW w:w="8511" w:type="dxa"/>
            <w:vAlign w:val="center"/>
          </w:tcPr>
          <w:p w14:paraId="0DC8E58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医疗机构配制制剂，应当按照经核准的工艺进行，所需的原料、辅料和包装材料等应当符合药用要求。</w:t>
            </w:r>
          </w:p>
        </w:tc>
        <w:tc>
          <w:tcPr>
            <w:tcW w:w="5526" w:type="dxa"/>
            <w:vAlign w:val="center"/>
          </w:tcPr>
          <w:p w14:paraId="1380C42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《中华人民共和国药品管理法》第七十五条；《中华人民共和国药品管理法实施条例》第四十六条。</w:t>
            </w:r>
          </w:p>
        </w:tc>
      </w:tr>
      <w:tr w14:paraId="32C7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752" w:type="dxa"/>
            <w:vMerge w:val="continue"/>
            <w:vAlign w:val="center"/>
          </w:tcPr>
          <w:p w14:paraId="5A4FC9D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3DBC1D3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59</w:t>
            </w:r>
          </w:p>
        </w:tc>
        <w:tc>
          <w:tcPr>
            <w:tcW w:w="8511" w:type="dxa"/>
            <w:vAlign w:val="center"/>
          </w:tcPr>
          <w:p w14:paraId="50D7543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配制的制剂只能供本单位使用。未经省级以上药品监督管理部门批准，医疗机构不得使用其他医疗机构配制的制剂，也不得向其他医疗机构提供本单位配制的制剂。发生灾情、疫情、突发事件或者临床急需而市场没有供应时，经国务院或者省、自治区、直辖市人民政府的药品监督管理部门批准，在规定期限内，医疗机构配制的制剂可以在指定的医疗机构之间调剂使用。国务院药品监督管理部门规定的特殊制剂的调剂使用以及省、自治区、直辖市之间医疗机构制剂的调剂使用，必须经国务院药品监督管理部门批准。</w:t>
            </w:r>
          </w:p>
        </w:tc>
        <w:tc>
          <w:tcPr>
            <w:tcW w:w="5526" w:type="dxa"/>
            <w:vAlign w:val="center"/>
          </w:tcPr>
          <w:p w14:paraId="75C3786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《中华人民共和国药品管理法实施条例》第二十四条；《医疗机构药品监督管理办法》第二十一条。</w:t>
            </w:r>
          </w:p>
        </w:tc>
      </w:tr>
      <w:tr w14:paraId="5F68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52" w:type="dxa"/>
            <w:vMerge w:val="continue"/>
            <w:vAlign w:val="center"/>
          </w:tcPr>
          <w:p w14:paraId="0AE384C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2637E74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60</w:t>
            </w:r>
          </w:p>
        </w:tc>
        <w:tc>
          <w:tcPr>
            <w:tcW w:w="8511" w:type="dxa"/>
            <w:vAlign w:val="center"/>
          </w:tcPr>
          <w:p w14:paraId="67A368F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麻醉药品和精神药品的使用单位对过期、损坏的麻醉药品和精神药品应当登记造册，并向所在地县级药品监督管理部门申请销毁。</w:t>
            </w:r>
          </w:p>
        </w:tc>
        <w:tc>
          <w:tcPr>
            <w:tcW w:w="5526" w:type="dxa"/>
            <w:vAlign w:val="center"/>
          </w:tcPr>
          <w:p w14:paraId="4860685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《麻醉药品和精神药品管理条例》第六十一条。</w:t>
            </w:r>
          </w:p>
        </w:tc>
      </w:tr>
      <w:tr w14:paraId="7E70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52" w:type="dxa"/>
            <w:vMerge w:val="continue"/>
            <w:vAlign w:val="center"/>
          </w:tcPr>
          <w:p w14:paraId="4EB1801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38B73E3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61</w:t>
            </w:r>
          </w:p>
        </w:tc>
        <w:tc>
          <w:tcPr>
            <w:tcW w:w="8511" w:type="dxa"/>
            <w:vAlign w:val="center"/>
          </w:tcPr>
          <w:p w14:paraId="7626524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取得制剂批准文号的医疗机构应当对调剂使用的医疗机构制剂的质量负责。接受调剂的医疗机构应当严格按照制剂的说明书使用制剂，并对超范围使用或者使用不当造成的不良后果承担责任。</w:t>
            </w:r>
          </w:p>
        </w:tc>
        <w:tc>
          <w:tcPr>
            <w:tcW w:w="5526" w:type="dxa"/>
            <w:vAlign w:val="center"/>
          </w:tcPr>
          <w:p w14:paraId="714A0D4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《医疗机构制剂注册管理办法》第二十八条。</w:t>
            </w:r>
          </w:p>
        </w:tc>
      </w:tr>
      <w:tr w14:paraId="4C90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52" w:type="dxa"/>
            <w:vMerge w:val="restart"/>
            <w:vAlign w:val="center"/>
          </w:tcPr>
          <w:p w14:paraId="6F6BD89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使用管理</w:t>
            </w:r>
          </w:p>
        </w:tc>
        <w:tc>
          <w:tcPr>
            <w:tcW w:w="770" w:type="dxa"/>
            <w:vAlign w:val="center"/>
          </w:tcPr>
          <w:p w14:paraId="7E440EA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62</w:t>
            </w:r>
          </w:p>
        </w:tc>
        <w:tc>
          <w:tcPr>
            <w:tcW w:w="8511" w:type="dxa"/>
            <w:vAlign w:val="center"/>
          </w:tcPr>
          <w:p w14:paraId="0FE157F8">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医疗机构制剂应按药品监督管理部门制定的原则并结合剂型特点、原料药的稳定性和制剂稳定性试验结果规定使用期限。</w:t>
            </w:r>
          </w:p>
        </w:tc>
        <w:tc>
          <w:tcPr>
            <w:tcW w:w="5526" w:type="dxa"/>
            <w:vAlign w:val="center"/>
          </w:tcPr>
          <w:p w14:paraId="29149337">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《医疗机构制剂配制质量管理规范》第六十三条。</w:t>
            </w:r>
          </w:p>
        </w:tc>
      </w:tr>
      <w:tr w14:paraId="4FD0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52" w:type="dxa"/>
            <w:vMerge w:val="continue"/>
            <w:vAlign w:val="center"/>
          </w:tcPr>
          <w:p w14:paraId="2795D62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1D2A2EB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63</w:t>
            </w:r>
          </w:p>
        </w:tc>
        <w:tc>
          <w:tcPr>
            <w:tcW w:w="8511" w:type="dxa"/>
            <w:vAlign w:val="center"/>
          </w:tcPr>
          <w:p w14:paraId="236E58C5">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医疗单位使用放射性药品，必须符合国家有关放射性同位素安全和防护的规定。</w:t>
            </w:r>
          </w:p>
        </w:tc>
        <w:tc>
          <w:tcPr>
            <w:tcW w:w="5526" w:type="dxa"/>
            <w:vAlign w:val="center"/>
          </w:tcPr>
          <w:p w14:paraId="663FE51F">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《放射性药品管理办法》第二十一条。</w:t>
            </w:r>
          </w:p>
        </w:tc>
      </w:tr>
      <w:tr w14:paraId="14E2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52" w:type="dxa"/>
            <w:vMerge w:val="continue"/>
            <w:vAlign w:val="center"/>
          </w:tcPr>
          <w:p w14:paraId="325DAE0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4C0050E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64</w:t>
            </w:r>
          </w:p>
        </w:tc>
        <w:tc>
          <w:tcPr>
            <w:tcW w:w="8511" w:type="dxa"/>
            <w:vAlign w:val="center"/>
          </w:tcPr>
          <w:p w14:paraId="22C6DD9B">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医疗单位配制、使用放射性制剂，应当符合《中华人民共和国药品管理法》及其实施条例的相关规定。</w:t>
            </w:r>
          </w:p>
        </w:tc>
        <w:tc>
          <w:tcPr>
            <w:tcW w:w="5526" w:type="dxa"/>
            <w:vAlign w:val="center"/>
          </w:tcPr>
          <w:p w14:paraId="32D7EF86">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《放射性药品管理办法》第二十二条。</w:t>
            </w:r>
          </w:p>
        </w:tc>
      </w:tr>
      <w:tr w14:paraId="65EA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52" w:type="dxa"/>
            <w:vMerge w:val="continue"/>
            <w:vAlign w:val="center"/>
          </w:tcPr>
          <w:p w14:paraId="1EE5017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2C2408F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65</w:t>
            </w:r>
          </w:p>
        </w:tc>
        <w:tc>
          <w:tcPr>
            <w:tcW w:w="8511" w:type="dxa"/>
            <w:vAlign w:val="center"/>
          </w:tcPr>
          <w:p w14:paraId="153F6EB6">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乡镇卫生院以上医疗单位要加强对购进罂粟壳的管理，严格凭医生处方使用。</w:t>
            </w:r>
          </w:p>
        </w:tc>
        <w:tc>
          <w:tcPr>
            <w:tcW w:w="5526" w:type="dxa"/>
            <w:vAlign w:val="center"/>
          </w:tcPr>
          <w:p w14:paraId="218226F2">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《罂粟壳管理暂行规定》第十四条。</w:t>
            </w:r>
          </w:p>
        </w:tc>
      </w:tr>
      <w:tr w14:paraId="63FB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2" w:type="dxa"/>
            <w:vMerge w:val="continue"/>
            <w:vAlign w:val="center"/>
          </w:tcPr>
          <w:p w14:paraId="07D493D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003075A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66</w:t>
            </w:r>
          </w:p>
        </w:tc>
        <w:tc>
          <w:tcPr>
            <w:tcW w:w="8511" w:type="dxa"/>
            <w:vAlign w:val="center"/>
          </w:tcPr>
          <w:p w14:paraId="5F447964">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毒性配方用药由医疗单位负责。</w:t>
            </w:r>
          </w:p>
        </w:tc>
        <w:tc>
          <w:tcPr>
            <w:tcW w:w="5526" w:type="dxa"/>
            <w:vAlign w:val="center"/>
          </w:tcPr>
          <w:p w14:paraId="0E5F2CFB">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《医疗用毒性药品管理办法》第五条。</w:t>
            </w:r>
          </w:p>
        </w:tc>
      </w:tr>
      <w:tr w14:paraId="7D76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52" w:type="dxa"/>
            <w:vMerge w:val="continue"/>
            <w:vAlign w:val="center"/>
          </w:tcPr>
          <w:p w14:paraId="074A2B1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09E67A1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67</w:t>
            </w:r>
          </w:p>
        </w:tc>
        <w:tc>
          <w:tcPr>
            <w:tcW w:w="8511" w:type="dxa"/>
            <w:vAlign w:val="center"/>
          </w:tcPr>
          <w:p w14:paraId="5740E6F1">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单位供应和调配毒性药品，凭医生签名的正式处方。每次处方剂量不得超过二日极量。调配处方时，必须认真负责，计量准确，按医嘱注明要求，并由配方人员及具有药师以上技术职称的复核人员签名盖章后方可发出。对处方未注明“生用”的毒性中药，应当付炮制品。如发现处方有疑问时，须经原处方医生重新审定后再行调配。处方一次有效，取药后处方保存二年备查。</w:t>
            </w:r>
          </w:p>
        </w:tc>
        <w:tc>
          <w:tcPr>
            <w:tcW w:w="5526" w:type="dxa"/>
            <w:vAlign w:val="center"/>
          </w:tcPr>
          <w:p w14:paraId="3F040D31">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《医疗用毒性药品管理办法》第九条。</w:t>
            </w:r>
          </w:p>
        </w:tc>
      </w:tr>
      <w:tr w14:paraId="1721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52" w:type="dxa"/>
            <w:vMerge w:val="continue"/>
            <w:vAlign w:val="center"/>
          </w:tcPr>
          <w:p w14:paraId="4AC0218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141D2CB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68</w:t>
            </w:r>
          </w:p>
        </w:tc>
        <w:tc>
          <w:tcPr>
            <w:tcW w:w="8511" w:type="dxa"/>
            <w:vAlign w:val="center"/>
          </w:tcPr>
          <w:p w14:paraId="3263D77D">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医疗机构只能凭依法享有处方权的执业医师开具的处方向患者提供蛋白同化制剂、肽类激素。处方应当保存2年。</w:t>
            </w:r>
          </w:p>
        </w:tc>
        <w:tc>
          <w:tcPr>
            <w:tcW w:w="5526" w:type="dxa"/>
            <w:vAlign w:val="center"/>
          </w:tcPr>
          <w:p w14:paraId="160DE9C5">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《反兴奋剂条例》第十五条。</w:t>
            </w:r>
          </w:p>
        </w:tc>
      </w:tr>
      <w:tr w14:paraId="4F0A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52" w:type="dxa"/>
            <w:vMerge w:val="restart"/>
            <w:vAlign w:val="center"/>
          </w:tcPr>
          <w:p w14:paraId="315D08A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疫苗配送</w:t>
            </w:r>
          </w:p>
        </w:tc>
        <w:tc>
          <w:tcPr>
            <w:tcW w:w="770" w:type="dxa"/>
            <w:vAlign w:val="center"/>
          </w:tcPr>
          <w:p w14:paraId="0C1AEF8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69</w:t>
            </w:r>
          </w:p>
        </w:tc>
        <w:tc>
          <w:tcPr>
            <w:tcW w:w="8511" w:type="dxa"/>
            <w:vAlign w:val="center"/>
          </w:tcPr>
          <w:p w14:paraId="1AE654FD">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疫苗配送单位应当遵守疫苗储存、运输管理规范，保证疫苗质量。</w:t>
            </w:r>
          </w:p>
          <w:p w14:paraId="22D59FE0">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疫苗在储存、运输全过程中应当处于规定的温度环境，冷链储存、运输应当符合要求，并定时监测、记录温度。</w:t>
            </w:r>
          </w:p>
        </w:tc>
        <w:tc>
          <w:tcPr>
            <w:tcW w:w="5526" w:type="dxa"/>
            <w:vAlign w:val="center"/>
          </w:tcPr>
          <w:p w14:paraId="3604473C">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《中华人民共和国疫苗管理法》第三十七条第一款、第二款。</w:t>
            </w:r>
          </w:p>
        </w:tc>
      </w:tr>
      <w:tr w14:paraId="6509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52" w:type="dxa"/>
            <w:vMerge w:val="continue"/>
            <w:vAlign w:val="center"/>
          </w:tcPr>
          <w:p w14:paraId="73A68CD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6A37CA8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70</w:t>
            </w:r>
          </w:p>
        </w:tc>
        <w:tc>
          <w:tcPr>
            <w:tcW w:w="8511" w:type="dxa"/>
            <w:vAlign w:val="center"/>
          </w:tcPr>
          <w:p w14:paraId="27C583A8">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疫苗配送单位应当按照规定，建立真实、准确、完整的接收、储存、配送记录，并保存至疫苗有效期满后不少于五年备查。</w:t>
            </w:r>
          </w:p>
        </w:tc>
        <w:tc>
          <w:tcPr>
            <w:tcW w:w="5526" w:type="dxa"/>
            <w:vAlign w:val="center"/>
          </w:tcPr>
          <w:p w14:paraId="7A8168A0">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《中华人民共和国疫苗管理法》第三十九条第二款。</w:t>
            </w:r>
          </w:p>
        </w:tc>
      </w:tr>
      <w:tr w14:paraId="0683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52" w:type="dxa"/>
            <w:vMerge w:val="restart"/>
            <w:vAlign w:val="center"/>
          </w:tcPr>
          <w:p w14:paraId="240AACF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不良反应监测</w:t>
            </w:r>
          </w:p>
        </w:tc>
        <w:tc>
          <w:tcPr>
            <w:tcW w:w="770" w:type="dxa"/>
            <w:vAlign w:val="center"/>
          </w:tcPr>
          <w:p w14:paraId="3BB579F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71</w:t>
            </w:r>
          </w:p>
        </w:tc>
        <w:tc>
          <w:tcPr>
            <w:tcW w:w="8511" w:type="dxa"/>
            <w:vAlign w:val="center"/>
          </w:tcPr>
          <w:p w14:paraId="7C14A6F1">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医疗机构应当经常考察本单位所使用的药品质量、疗效和不良反应。发现疑似不良反应的，应当及时向药品监督管理部门和卫生健康主管部门报告。</w:t>
            </w:r>
          </w:p>
        </w:tc>
        <w:tc>
          <w:tcPr>
            <w:tcW w:w="5526" w:type="dxa"/>
            <w:vAlign w:val="center"/>
          </w:tcPr>
          <w:p w14:paraId="41855063">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《中华人民共和国药品管理法》第八十一条。</w:t>
            </w:r>
          </w:p>
        </w:tc>
      </w:tr>
      <w:tr w14:paraId="2A58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52" w:type="dxa"/>
            <w:vMerge w:val="continue"/>
            <w:vAlign w:val="center"/>
          </w:tcPr>
          <w:p w14:paraId="4413BC9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16A3B29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72</w:t>
            </w:r>
          </w:p>
        </w:tc>
        <w:tc>
          <w:tcPr>
            <w:tcW w:w="8511" w:type="dxa"/>
            <w:vAlign w:val="center"/>
          </w:tcPr>
          <w:p w14:paraId="6912E3F7">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spacing w:val="-2"/>
                <w:kern w:val="0"/>
                <w:sz w:val="18"/>
                <w:szCs w:val="18"/>
              </w:rPr>
            </w:pPr>
            <w:r>
              <w:rPr>
                <w:rFonts w:hint="eastAsia" w:ascii="方正仿宋_GBK" w:hAnsi="方正仿宋_GBK" w:eastAsia="方正仿宋_GBK" w:cs="方正仿宋_GBK"/>
                <w:spacing w:val="-2"/>
                <w:kern w:val="0"/>
                <w:sz w:val="18"/>
                <w:szCs w:val="18"/>
              </w:rPr>
              <w:t>医疗机构应当加强对备案的中药制剂品种的不良反应监测，并按照国家有关规定进行报告。</w:t>
            </w:r>
          </w:p>
        </w:tc>
        <w:tc>
          <w:tcPr>
            <w:tcW w:w="5526" w:type="dxa"/>
            <w:vAlign w:val="center"/>
          </w:tcPr>
          <w:p w14:paraId="6C7631D4">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《中华人民共和国中医药法》第三十二条。</w:t>
            </w:r>
          </w:p>
        </w:tc>
      </w:tr>
      <w:tr w14:paraId="7B95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52" w:type="dxa"/>
            <w:vMerge w:val="continue"/>
            <w:vAlign w:val="center"/>
          </w:tcPr>
          <w:p w14:paraId="0DA8477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71E1774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73</w:t>
            </w:r>
          </w:p>
        </w:tc>
        <w:tc>
          <w:tcPr>
            <w:tcW w:w="8511" w:type="dxa"/>
            <w:vAlign w:val="center"/>
          </w:tcPr>
          <w:p w14:paraId="4E01630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配制和使用制剂的医疗机构应当注意观察制剂不良反应，并按照国家食品药品监督管理局的有关规定报告和处理。</w:t>
            </w:r>
          </w:p>
        </w:tc>
        <w:tc>
          <w:tcPr>
            <w:tcW w:w="5526" w:type="dxa"/>
            <w:vAlign w:val="center"/>
          </w:tcPr>
          <w:p w14:paraId="0D3A8402">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《医疗机构制剂注册管理办法》第三十五条。</w:t>
            </w:r>
          </w:p>
        </w:tc>
      </w:tr>
      <w:tr w14:paraId="6409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52" w:type="dxa"/>
            <w:vMerge w:val="continue"/>
            <w:vAlign w:val="center"/>
          </w:tcPr>
          <w:p w14:paraId="400D82F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68C6D79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74</w:t>
            </w:r>
          </w:p>
        </w:tc>
        <w:tc>
          <w:tcPr>
            <w:tcW w:w="8511" w:type="dxa"/>
            <w:vAlign w:val="center"/>
          </w:tcPr>
          <w:p w14:paraId="4310BFD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获知或者发现可能与用药有关的不良反应，应当通过国家药品不良反应监测信息网络报告；不具备在线报告条件的，应当通过纸质报表报所在地药品不良反应监测机构，由所在地药品不良反应监测机构代为在线报告。报告内容应当真实、完整、准确。</w:t>
            </w:r>
          </w:p>
        </w:tc>
        <w:tc>
          <w:tcPr>
            <w:tcW w:w="5526" w:type="dxa"/>
            <w:vAlign w:val="center"/>
          </w:tcPr>
          <w:p w14:paraId="4C65A6DD">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《药品不良反应报告和监测管理办法》第十五条。</w:t>
            </w:r>
          </w:p>
        </w:tc>
      </w:tr>
      <w:tr w14:paraId="61B0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52" w:type="dxa"/>
            <w:vMerge w:val="continue"/>
            <w:vAlign w:val="center"/>
          </w:tcPr>
          <w:p w14:paraId="0ED9FCD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0F0A3DC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75</w:t>
            </w:r>
          </w:p>
        </w:tc>
        <w:tc>
          <w:tcPr>
            <w:tcW w:w="8511" w:type="dxa"/>
            <w:vAlign w:val="center"/>
          </w:tcPr>
          <w:p w14:paraId="4730022F">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医疗机构应当配合药品监督管理部门、卫生行政部门和药品不良反应监测机构对药品不良反应或者群体不良事件的调查，并提供调查所需的资料。</w:t>
            </w:r>
          </w:p>
        </w:tc>
        <w:tc>
          <w:tcPr>
            <w:tcW w:w="5526" w:type="dxa"/>
            <w:vAlign w:val="center"/>
          </w:tcPr>
          <w:p w14:paraId="0B216B3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《药品不良反应报告和监测管理办法》第十七条。</w:t>
            </w:r>
          </w:p>
        </w:tc>
      </w:tr>
      <w:tr w14:paraId="1D05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52" w:type="dxa"/>
            <w:vMerge w:val="continue"/>
            <w:vAlign w:val="center"/>
          </w:tcPr>
          <w:p w14:paraId="0A81095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78EDEC2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76</w:t>
            </w:r>
          </w:p>
        </w:tc>
        <w:tc>
          <w:tcPr>
            <w:tcW w:w="8511" w:type="dxa"/>
            <w:vAlign w:val="center"/>
          </w:tcPr>
          <w:p w14:paraId="717D7388">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医疗机构应当建立并保存药品不良反应报告和监测档案。</w:t>
            </w:r>
          </w:p>
        </w:tc>
        <w:tc>
          <w:tcPr>
            <w:tcW w:w="5526" w:type="dxa"/>
            <w:vAlign w:val="center"/>
          </w:tcPr>
          <w:p w14:paraId="6C5B9785">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《药品不良反应报告和监测管理办法》第十八条。</w:t>
            </w:r>
          </w:p>
        </w:tc>
      </w:tr>
      <w:tr w14:paraId="5D9E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2" w:type="dxa"/>
            <w:vMerge w:val="continue"/>
            <w:vAlign w:val="center"/>
          </w:tcPr>
          <w:p w14:paraId="63E9493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476A216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77</w:t>
            </w:r>
          </w:p>
        </w:tc>
        <w:tc>
          <w:tcPr>
            <w:tcW w:w="8511" w:type="dxa"/>
            <w:vAlign w:val="center"/>
          </w:tcPr>
          <w:p w14:paraId="1DA08E5D">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医疗机构应当主动收集药品不良反应，获知或者发现药品不良反应后应当详细记录、分析和处理，填写《药品不良反应/事件报告表》（见附表1）并报告。</w:t>
            </w:r>
          </w:p>
        </w:tc>
        <w:tc>
          <w:tcPr>
            <w:tcW w:w="5526" w:type="dxa"/>
            <w:vAlign w:val="center"/>
          </w:tcPr>
          <w:p w14:paraId="52EEA139">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《药品不良反应报告和监测管理办法》第十九条。</w:t>
            </w:r>
          </w:p>
        </w:tc>
      </w:tr>
      <w:tr w14:paraId="24CD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52" w:type="dxa"/>
            <w:vMerge w:val="continue"/>
            <w:vAlign w:val="center"/>
          </w:tcPr>
          <w:p w14:paraId="2694615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19E45B6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78</w:t>
            </w:r>
          </w:p>
        </w:tc>
        <w:tc>
          <w:tcPr>
            <w:tcW w:w="8511" w:type="dxa"/>
            <w:vAlign w:val="center"/>
          </w:tcPr>
          <w:p w14:paraId="32C9F84B">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医疗机构发现或者获知新的、严重的药品不良反应应当在15日内报告，其中死亡病例须立即报告；其他药品不良反应应当在30日内报告。有随访信息的，应当及时报告。</w:t>
            </w:r>
          </w:p>
        </w:tc>
        <w:tc>
          <w:tcPr>
            <w:tcW w:w="5526" w:type="dxa"/>
            <w:vAlign w:val="center"/>
          </w:tcPr>
          <w:p w14:paraId="681906A7">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《药品不良反应报告和监测管理办法》第二十一条。</w:t>
            </w:r>
          </w:p>
        </w:tc>
      </w:tr>
      <w:tr w14:paraId="1E42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52" w:type="dxa"/>
            <w:vMerge w:val="continue"/>
            <w:vAlign w:val="center"/>
          </w:tcPr>
          <w:p w14:paraId="17C8F87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503E57D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79</w:t>
            </w:r>
          </w:p>
        </w:tc>
        <w:tc>
          <w:tcPr>
            <w:tcW w:w="8511" w:type="dxa"/>
            <w:vAlign w:val="center"/>
          </w:tcPr>
          <w:p w14:paraId="350E56E5">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获知或者发现药品群体不良事件后，应当立即通过电话或者传真等方式报所在地的县级药品监督管理部门、卫生行政部门和药品不良反应监测机构，必要时可以越级报告；同时填写《药品群体不良事件基本信息表》（见附表2），对每一病例还应当及时填写《药品不良反应/事件报告表》，通过国家药品不良反应监测信息网络报告。</w:t>
            </w:r>
          </w:p>
        </w:tc>
        <w:tc>
          <w:tcPr>
            <w:tcW w:w="5526" w:type="dxa"/>
            <w:vAlign w:val="center"/>
          </w:tcPr>
          <w:p w14:paraId="53C4337A">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《药品不良反应报告和监测管理办法》第二十七条。</w:t>
            </w:r>
          </w:p>
        </w:tc>
      </w:tr>
      <w:tr w14:paraId="6B5A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52" w:type="dxa"/>
            <w:vMerge w:val="restart"/>
            <w:vAlign w:val="center"/>
          </w:tcPr>
          <w:p w14:paraId="178C69F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不良反应监测</w:t>
            </w:r>
          </w:p>
        </w:tc>
        <w:tc>
          <w:tcPr>
            <w:tcW w:w="770" w:type="dxa"/>
            <w:vAlign w:val="center"/>
          </w:tcPr>
          <w:p w14:paraId="3B43B87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80</w:t>
            </w:r>
          </w:p>
        </w:tc>
        <w:tc>
          <w:tcPr>
            <w:tcW w:w="8511" w:type="dxa"/>
            <w:vAlign w:val="center"/>
          </w:tcPr>
          <w:p w14:paraId="28A99FB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医疗机构发现药品群体不良事件后应当积极救治患者，迅速开展临床调查，分析事件发生的原因，必要时可采取暂停药品的使用等紧急措施。</w:t>
            </w:r>
          </w:p>
        </w:tc>
        <w:tc>
          <w:tcPr>
            <w:tcW w:w="5526" w:type="dxa"/>
            <w:vAlign w:val="center"/>
          </w:tcPr>
          <w:p w14:paraId="1191B85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《药品不良反应报告和监测管理办法》第三十一条。</w:t>
            </w:r>
          </w:p>
        </w:tc>
      </w:tr>
      <w:tr w14:paraId="5C48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52" w:type="dxa"/>
            <w:vMerge w:val="continue"/>
            <w:vAlign w:val="center"/>
          </w:tcPr>
          <w:p w14:paraId="52BEA37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4903CC7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81</w:t>
            </w:r>
          </w:p>
        </w:tc>
        <w:tc>
          <w:tcPr>
            <w:tcW w:w="8511" w:type="dxa"/>
            <w:vAlign w:val="center"/>
          </w:tcPr>
          <w:p w14:paraId="399F786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医疗机构应当对收集到的药品不良反应报告和监测资料进行分析和评价，并采取有效措施减少和防止药品不良反应的重复发生。</w:t>
            </w:r>
          </w:p>
        </w:tc>
        <w:tc>
          <w:tcPr>
            <w:tcW w:w="5526" w:type="dxa"/>
            <w:vAlign w:val="center"/>
          </w:tcPr>
          <w:p w14:paraId="3182C41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《药品不良反应报告和监测管理办法》第四十六条。</w:t>
            </w:r>
          </w:p>
        </w:tc>
      </w:tr>
      <w:tr w14:paraId="6E96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52" w:type="dxa"/>
            <w:vMerge w:val="continue"/>
            <w:vAlign w:val="center"/>
          </w:tcPr>
          <w:p w14:paraId="095B068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37B031B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82</w:t>
            </w:r>
          </w:p>
        </w:tc>
        <w:tc>
          <w:tcPr>
            <w:tcW w:w="8511" w:type="dxa"/>
            <w:vAlign w:val="center"/>
          </w:tcPr>
          <w:p w14:paraId="62D44CC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持有《放射性药品使用许可证》的医疗单位，必须负责对使用的放射性药品进行临床质量检验，收集药品不良反应等项工作，并定期向所在地药品监督管理、卫生行政部门报告。</w:t>
            </w:r>
          </w:p>
        </w:tc>
        <w:tc>
          <w:tcPr>
            <w:tcW w:w="5526" w:type="dxa"/>
            <w:vAlign w:val="center"/>
          </w:tcPr>
          <w:p w14:paraId="22C4C5B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《放射性药品管理办法》第二十三条。</w:t>
            </w:r>
          </w:p>
        </w:tc>
      </w:tr>
      <w:tr w14:paraId="4781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52" w:type="dxa"/>
            <w:vAlign w:val="center"/>
          </w:tcPr>
          <w:p w14:paraId="0304CBF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召回</w:t>
            </w:r>
          </w:p>
        </w:tc>
        <w:tc>
          <w:tcPr>
            <w:tcW w:w="770" w:type="dxa"/>
            <w:vAlign w:val="center"/>
          </w:tcPr>
          <w:p w14:paraId="5731D5A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83</w:t>
            </w:r>
          </w:p>
        </w:tc>
        <w:tc>
          <w:tcPr>
            <w:tcW w:w="8511" w:type="dxa"/>
            <w:vAlign w:val="center"/>
          </w:tcPr>
          <w:p w14:paraId="6B70AB2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存在质量问题或者其他安全隐患的，药品上市许可持有人召回已销售的药品，医疗机构应当配合。医疗机构应当积极协助药品上市许可持有人、中药饮片生产企业、药品批发企业履行药品召回、追回义务。医疗机构发现存在安全隐患的药品，需要召回的，医疗机构应当协助药品生产企业履行药品召回义务。</w:t>
            </w:r>
          </w:p>
        </w:tc>
        <w:tc>
          <w:tcPr>
            <w:tcW w:w="5526" w:type="dxa"/>
            <w:vAlign w:val="center"/>
          </w:tcPr>
          <w:p w14:paraId="42E50D2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《中华人民共和国药品管理法》第八十二条；《药品经营和使用质量监督管理办法》第五十七条；《医疗机构药品监督管理办法》第二十二条。</w:t>
            </w:r>
          </w:p>
        </w:tc>
      </w:tr>
      <w:tr w14:paraId="47E1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Merge w:val="restart"/>
            <w:vAlign w:val="center"/>
          </w:tcPr>
          <w:p w14:paraId="1FAE052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药品安全事件处置</w:t>
            </w:r>
          </w:p>
        </w:tc>
        <w:tc>
          <w:tcPr>
            <w:tcW w:w="770" w:type="dxa"/>
            <w:vAlign w:val="center"/>
          </w:tcPr>
          <w:p w14:paraId="7AC83FC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84</w:t>
            </w:r>
          </w:p>
        </w:tc>
        <w:tc>
          <w:tcPr>
            <w:tcW w:w="8511" w:type="dxa"/>
            <w:vAlign w:val="center"/>
          </w:tcPr>
          <w:p w14:paraId="0EB3E82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医疗机构应当制定本单位的药品安全事件处置方案，并组织开展培训和应急演练。</w:t>
            </w:r>
          </w:p>
        </w:tc>
        <w:tc>
          <w:tcPr>
            <w:tcW w:w="5526" w:type="dxa"/>
            <w:vAlign w:val="center"/>
          </w:tcPr>
          <w:p w14:paraId="56C6C21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《中华人民共和国药品管理法》第一百零八条。</w:t>
            </w:r>
          </w:p>
        </w:tc>
      </w:tr>
      <w:tr w14:paraId="57C4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752" w:type="dxa"/>
            <w:vMerge w:val="continue"/>
            <w:vAlign w:val="center"/>
          </w:tcPr>
          <w:p w14:paraId="1FF7649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7E71296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85</w:t>
            </w:r>
          </w:p>
        </w:tc>
        <w:tc>
          <w:tcPr>
            <w:tcW w:w="8511" w:type="dxa"/>
            <w:vAlign w:val="center"/>
          </w:tcPr>
          <w:p w14:paraId="3433FD0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应当加强对使用药品的质量监测。发现假药、劣药的，应当立即停止使用、就地封存并妥善保管，及时向所在地药品监督管理部门报告。在药品监督管理部门作出决定之前，医疗机构不得擅自处理。医疗机构发现存在安全隐患的药品，应当立即停止使用，并通知药品生产企业或者供货商，及时向所在地药品监督管理部门报告。</w:t>
            </w:r>
          </w:p>
        </w:tc>
        <w:tc>
          <w:tcPr>
            <w:tcW w:w="5526" w:type="dxa"/>
            <w:vAlign w:val="center"/>
          </w:tcPr>
          <w:p w14:paraId="54CFD33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《药品经营和使用质量监督管理办法》第五十六条；《医疗机构药品监督管理办法》第二十二条。</w:t>
            </w:r>
          </w:p>
        </w:tc>
      </w:tr>
      <w:tr w14:paraId="2345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52" w:type="dxa"/>
            <w:vMerge w:val="continue"/>
            <w:vAlign w:val="center"/>
          </w:tcPr>
          <w:p w14:paraId="1ED9AFC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556AC74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86</w:t>
            </w:r>
          </w:p>
        </w:tc>
        <w:tc>
          <w:tcPr>
            <w:tcW w:w="8511" w:type="dxa"/>
            <w:vAlign w:val="center"/>
          </w:tcPr>
          <w:p w14:paraId="5F92B0C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发生疫苗安全事件，医疗机构应当立即向县级以上人民政府卫生健康主管部门、药品监督管理部门报告。</w:t>
            </w:r>
          </w:p>
        </w:tc>
        <w:tc>
          <w:tcPr>
            <w:tcW w:w="5526" w:type="dxa"/>
            <w:vAlign w:val="center"/>
          </w:tcPr>
          <w:p w14:paraId="2FAD165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《中华人民共和国疫苗管理法》第七十八条。</w:t>
            </w:r>
          </w:p>
        </w:tc>
      </w:tr>
      <w:tr w14:paraId="60A3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52" w:type="dxa"/>
            <w:vMerge w:val="restart"/>
            <w:vAlign w:val="center"/>
          </w:tcPr>
          <w:p w14:paraId="017949D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药品安全事件处置</w:t>
            </w:r>
          </w:p>
        </w:tc>
        <w:tc>
          <w:tcPr>
            <w:tcW w:w="770" w:type="dxa"/>
            <w:vAlign w:val="center"/>
          </w:tcPr>
          <w:p w14:paraId="00CD40E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方正仿宋_GBK" w:hAnsi="方正仿宋_GBK" w:eastAsia="方正仿宋_GBK" w:cs="方正仿宋_GBK"/>
                <w:kern w:val="0"/>
                <w:sz w:val="18"/>
                <w:szCs w:val="18"/>
                <w:lang w:val="en-US" w:eastAsia="zh-CN"/>
              </w:rPr>
            </w:pPr>
            <w:r>
              <w:rPr>
                <w:rFonts w:hint="eastAsia" w:ascii="方正仿宋_GBK" w:hAnsi="方正仿宋_GBK" w:eastAsia="方正仿宋_GBK" w:cs="方正仿宋_GBK"/>
                <w:kern w:val="0"/>
                <w:sz w:val="18"/>
                <w:szCs w:val="18"/>
                <w:lang w:val="en-US" w:eastAsia="zh-CN"/>
              </w:rPr>
              <w:t>87</w:t>
            </w:r>
          </w:p>
        </w:tc>
        <w:tc>
          <w:tcPr>
            <w:tcW w:w="8511" w:type="dxa"/>
            <w:vAlign w:val="center"/>
          </w:tcPr>
          <w:p w14:paraId="6C2C3DC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发生麻醉药品和精神药品被盗、被抢、丢失或者其他流入非法渠道的情形的，案发单位应当立即采取必要的控制措施，同时报告所在地县级公安机关和药品监督管理部门。</w:t>
            </w:r>
          </w:p>
        </w:tc>
        <w:tc>
          <w:tcPr>
            <w:tcW w:w="5526" w:type="dxa"/>
            <w:vAlign w:val="center"/>
          </w:tcPr>
          <w:p w14:paraId="5EE9C6D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《麻醉药品和精神药品管理条例》第六十四条。</w:t>
            </w:r>
          </w:p>
        </w:tc>
      </w:tr>
      <w:tr w14:paraId="2FE9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52" w:type="dxa"/>
            <w:vMerge w:val="continue"/>
            <w:vAlign w:val="center"/>
          </w:tcPr>
          <w:p w14:paraId="2A9886B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rPr>
            </w:pPr>
          </w:p>
        </w:tc>
        <w:tc>
          <w:tcPr>
            <w:tcW w:w="770" w:type="dxa"/>
            <w:vAlign w:val="center"/>
          </w:tcPr>
          <w:p w14:paraId="5B01D30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18"/>
                <w:szCs w:val="18"/>
                <w:lang w:eastAsia="zh-CN"/>
              </w:rPr>
            </w:pPr>
            <w:r>
              <w:rPr>
                <w:rFonts w:hint="eastAsia" w:ascii="方正仿宋_GBK" w:hAnsi="方正仿宋_GBK" w:eastAsia="方正仿宋_GBK" w:cs="方正仿宋_GBK"/>
                <w:kern w:val="0"/>
                <w:sz w:val="18"/>
                <w:szCs w:val="18"/>
              </w:rPr>
              <w:t>8</w:t>
            </w:r>
            <w:r>
              <w:rPr>
                <w:rFonts w:hint="eastAsia" w:ascii="方正仿宋_GBK" w:hAnsi="方正仿宋_GBK" w:eastAsia="方正仿宋_GBK" w:cs="方正仿宋_GBK"/>
                <w:kern w:val="0"/>
                <w:sz w:val="18"/>
                <w:szCs w:val="18"/>
                <w:lang w:val="en-US" w:eastAsia="zh-CN"/>
              </w:rPr>
              <w:t>8</w:t>
            </w:r>
          </w:p>
        </w:tc>
        <w:tc>
          <w:tcPr>
            <w:tcW w:w="8511" w:type="dxa"/>
            <w:vAlign w:val="center"/>
          </w:tcPr>
          <w:p w14:paraId="4EA5ED1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医疗机构制剂配制发生重大质量事故，必须立即报所在地省、自治区、直辖市（食品）药品监督管理部门和有关部门。</w:t>
            </w:r>
          </w:p>
        </w:tc>
        <w:tc>
          <w:tcPr>
            <w:tcW w:w="5526" w:type="dxa"/>
            <w:vAlign w:val="center"/>
          </w:tcPr>
          <w:p w14:paraId="14F8853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《医疗机构制剂配制监督管理办法》第四十三条。</w:t>
            </w:r>
          </w:p>
        </w:tc>
      </w:tr>
    </w:tbl>
    <w:p w14:paraId="13B74462">
      <w:pPr>
        <w:rPr>
          <w:rFonts w:ascii="Times New Roman" w:hAnsi="Times New Roman"/>
        </w:rPr>
      </w:pPr>
    </w:p>
    <w:p w14:paraId="342ECAD8">
      <w:pPr>
        <w:rPr>
          <w:rFonts w:ascii="Times New Roman" w:hAnsi="Times New Roman"/>
        </w:rPr>
      </w:pPr>
    </w:p>
    <w:p w14:paraId="5C93D888">
      <w:pPr>
        <w:rPr>
          <w:rFonts w:ascii="Times New Roman" w:hAnsi="Times New Roman"/>
        </w:rPr>
      </w:pPr>
    </w:p>
    <w:p w14:paraId="0996A0B9">
      <w:pPr>
        <w:rPr>
          <w:rFonts w:ascii="Times New Roman" w:hAnsi="Times New Roman"/>
        </w:rPr>
      </w:pPr>
    </w:p>
    <w:p w14:paraId="1E8E9D29">
      <w:pPr>
        <w:rPr>
          <w:rFonts w:ascii="Times New Roman" w:hAnsi="Times New Roman"/>
        </w:rPr>
      </w:pPr>
    </w:p>
    <w:p w14:paraId="61BB9A31">
      <w:pPr>
        <w:rPr>
          <w:rFonts w:ascii="Times New Roman" w:hAnsi="Times New Roman"/>
        </w:rPr>
      </w:pPr>
    </w:p>
    <w:p w14:paraId="58771324">
      <w:pPr>
        <w:rPr>
          <w:rFonts w:ascii="Times New Roman" w:hAnsi="Times New Roman"/>
        </w:rPr>
      </w:pPr>
    </w:p>
    <w:p w14:paraId="790E0B56">
      <w:pPr>
        <w:rPr>
          <w:rFonts w:ascii="Times New Roman" w:hAnsi="Times New Roman"/>
        </w:rPr>
      </w:pPr>
    </w:p>
    <w:p w14:paraId="632400C4">
      <w:pPr>
        <w:rPr>
          <w:rFonts w:ascii="Times New Roman" w:hAnsi="Times New Roman"/>
        </w:rPr>
      </w:pPr>
    </w:p>
    <w:p w14:paraId="1A870244">
      <w:pPr>
        <w:rPr>
          <w:rFonts w:ascii="Times New Roman" w:hAnsi="Times New Roman"/>
        </w:rPr>
      </w:pPr>
    </w:p>
    <w:p w14:paraId="75DBE1F1">
      <w:pPr>
        <w:rPr>
          <w:rFonts w:ascii="Times New Roman" w:hAnsi="Times New Roman"/>
        </w:rPr>
      </w:pPr>
    </w:p>
    <w:p w14:paraId="45A23DD4">
      <w:pPr>
        <w:rPr>
          <w:rFonts w:ascii="Times New Roman" w:hAnsi="Times New Roman"/>
        </w:rPr>
      </w:pPr>
    </w:p>
    <w:p w14:paraId="6CB75CC1">
      <w:pPr>
        <w:rPr>
          <w:rFonts w:ascii="Times New Roman" w:hAnsi="Times New Roman"/>
        </w:rPr>
      </w:pPr>
    </w:p>
    <w:tbl>
      <w:tblPr>
        <w:tblStyle w:val="9"/>
        <w:tblW w:w="155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8"/>
        <w:gridCol w:w="772"/>
        <w:gridCol w:w="8511"/>
        <w:gridCol w:w="5524"/>
      </w:tblGrid>
      <w:tr w14:paraId="27BE7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blHeader/>
          <w:jc w:val="center"/>
        </w:trPr>
        <w:tc>
          <w:tcPr>
            <w:tcW w:w="748" w:type="dxa"/>
            <w:vAlign w:val="center"/>
          </w:tcPr>
          <w:p w14:paraId="5D80DAE4">
            <w:pPr>
              <w:widowControl/>
              <w:snapToGrid w:val="0"/>
              <w:spacing w:line="360" w:lineRule="exact"/>
              <w:jc w:val="center"/>
              <w:textAlignment w:val="center"/>
              <w:rPr>
                <w:rFonts w:eastAsia="方正黑体_GBK" w:cs="宋体"/>
                <w:bCs/>
                <w:kern w:val="0"/>
                <w:sz w:val="18"/>
                <w:szCs w:val="18"/>
              </w:rPr>
            </w:pPr>
            <w:r>
              <w:rPr>
                <w:rFonts w:hint="eastAsia" w:eastAsia="方正黑体_GBK" w:cs="宋体"/>
                <w:bCs/>
                <w:kern w:val="0"/>
                <w:sz w:val="18"/>
                <w:szCs w:val="18"/>
              </w:rPr>
              <w:t>表17</w:t>
            </w:r>
          </w:p>
        </w:tc>
        <w:tc>
          <w:tcPr>
            <w:tcW w:w="14807" w:type="dxa"/>
            <w:gridSpan w:val="3"/>
            <w:vAlign w:val="center"/>
          </w:tcPr>
          <w:p w14:paraId="7363F2C8">
            <w:pPr>
              <w:widowControl/>
              <w:snapToGrid w:val="0"/>
              <w:spacing w:line="360" w:lineRule="exact"/>
              <w:jc w:val="center"/>
              <w:textAlignment w:val="center"/>
              <w:rPr>
                <w:rFonts w:eastAsia="方正黑体_GBK" w:cs="宋体"/>
                <w:bCs/>
                <w:kern w:val="0"/>
                <w:sz w:val="18"/>
                <w:szCs w:val="18"/>
              </w:rPr>
            </w:pPr>
            <w:r>
              <w:rPr>
                <w:rFonts w:hint="eastAsia" w:eastAsia="方正黑体_GBK" w:cs="宋体"/>
                <w:bCs/>
                <w:kern w:val="0"/>
                <w:sz w:val="18"/>
                <w:szCs w:val="18"/>
              </w:rPr>
              <w:t>医疗器械使用单位主体责任清单</w:t>
            </w:r>
          </w:p>
        </w:tc>
      </w:tr>
      <w:tr w14:paraId="42077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blHeader/>
          <w:jc w:val="center"/>
        </w:trPr>
        <w:tc>
          <w:tcPr>
            <w:tcW w:w="748" w:type="dxa"/>
            <w:vAlign w:val="center"/>
          </w:tcPr>
          <w:p w14:paraId="466FB4C9">
            <w:pPr>
              <w:widowControl/>
              <w:snapToGrid w:val="0"/>
              <w:spacing w:line="360" w:lineRule="exact"/>
              <w:jc w:val="center"/>
              <w:textAlignment w:val="center"/>
              <w:rPr>
                <w:rFonts w:eastAsia="方正黑体_GBK" w:cs="宋体"/>
                <w:bCs/>
                <w:sz w:val="18"/>
                <w:szCs w:val="18"/>
              </w:rPr>
            </w:pPr>
            <w:r>
              <w:rPr>
                <w:rFonts w:hint="eastAsia" w:eastAsia="方正黑体_GBK" w:cs="宋体"/>
                <w:bCs/>
                <w:kern w:val="0"/>
                <w:sz w:val="18"/>
                <w:szCs w:val="18"/>
              </w:rPr>
              <w:t>分类</w:t>
            </w:r>
          </w:p>
        </w:tc>
        <w:tc>
          <w:tcPr>
            <w:tcW w:w="772" w:type="dxa"/>
            <w:vAlign w:val="center"/>
          </w:tcPr>
          <w:p w14:paraId="2B7BAAB1">
            <w:pPr>
              <w:widowControl/>
              <w:snapToGrid w:val="0"/>
              <w:spacing w:line="360" w:lineRule="exact"/>
              <w:jc w:val="center"/>
              <w:textAlignment w:val="center"/>
              <w:rPr>
                <w:rFonts w:eastAsia="方正黑体_GBK" w:cs="宋体"/>
                <w:bCs/>
                <w:sz w:val="18"/>
                <w:szCs w:val="18"/>
              </w:rPr>
            </w:pPr>
            <w:r>
              <w:rPr>
                <w:rFonts w:hint="eastAsia" w:eastAsia="方正黑体_GBK" w:cs="宋体"/>
                <w:bCs/>
                <w:kern w:val="0"/>
                <w:sz w:val="18"/>
                <w:szCs w:val="18"/>
              </w:rPr>
              <w:t>序号</w:t>
            </w:r>
          </w:p>
        </w:tc>
        <w:tc>
          <w:tcPr>
            <w:tcW w:w="8511" w:type="dxa"/>
            <w:vAlign w:val="center"/>
          </w:tcPr>
          <w:p w14:paraId="664D2586">
            <w:pPr>
              <w:widowControl/>
              <w:snapToGrid w:val="0"/>
              <w:spacing w:line="360" w:lineRule="exact"/>
              <w:jc w:val="center"/>
              <w:textAlignment w:val="bottom"/>
              <w:rPr>
                <w:rFonts w:eastAsia="方正黑体_GBK" w:cs="宋体"/>
                <w:bCs/>
                <w:sz w:val="18"/>
                <w:szCs w:val="18"/>
              </w:rPr>
            </w:pPr>
            <w:r>
              <w:rPr>
                <w:rFonts w:hint="eastAsia" w:eastAsia="方正黑体_GBK" w:cs="宋体"/>
                <w:bCs/>
                <w:kern w:val="0"/>
                <w:sz w:val="18"/>
                <w:szCs w:val="18"/>
              </w:rPr>
              <w:t>主体责任</w:t>
            </w:r>
          </w:p>
        </w:tc>
        <w:tc>
          <w:tcPr>
            <w:tcW w:w="5524" w:type="dxa"/>
            <w:vAlign w:val="center"/>
          </w:tcPr>
          <w:p w14:paraId="11E1A53D">
            <w:pPr>
              <w:widowControl/>
              <w:snapToGrid w:val="0"/>
              <w:spacing w:line="360" w:lineRule="exact"/>
              <w:jc w:val="center"/>
              <w:textAlignment w:val="center"/>
              <w:rPr>
                <w:rFonts w:eastAsia="方正黑体_GBK" w:cs="宋体"/>
                <w:bCs/>
                <w:sz w:val="18"/>
                <w:szCs w:val="18"/>
              </w:rPr>
            </w:pPr>
            <w:r>
              <w:rPr>
                <w:rFonts w:hint="eastAsia" w:eastAsia="方正黑体_GBK" w:cs="宋体"/>
                <w:bCs/>
                <w:kern w:val="0"/>
                <w:sz w:val="18"/>
                <w:szCs w:val="18"/>
              </w:rPr>
              <w:t>责任依据</w:t>
            </w:r>
          </w:p>
        </w:tc>
      </w:tr>
      <w:tr w14:paraId="1E5B0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jc w:val="center"/>
        </w:trPr>
        <w:tc>
          <w:tcPr>
            <w:tcW w:w="748" w:type="dxa"/>
            <w:vAlign w:val="center"/>
          </w:tcPr>
          <w:p w14:paraId="23E1A33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kern w:val="0"/>
                <w:sz w:val="18"/>
                <w:szCs w:val="18"/>
              </w:rPr>
              <w:t>主体资格</w:t>
            </w:r>
          </w:p>
        </w:tc>
        <w:tc>
          <w:tcPr>
            <w:tcW w:w="772" w:type="dxa"/>
            <w:vAlign w:val="center"/>
          </w:tcPr>
          <w:p w14:paraId="686F611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1</w:t>
            </w:r>
          </w:p>
        </w:tc>
        <w:tc>
          <w:tcPr>
            <w:tcW w:w="8511" w:type="dxa"/>
            <w:vAlign w:val="center"/>
          </w:tcPr>
          <w:p w14:paraId="55077813">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医疗器械使用单位，是指使用医疗器械为他人提供医疗等技术服务的机构，包括医疗机构、计划生育技术服务机构、血站、单采血浆站、康复辅助器具适配机构等。</w:t>
            </w:r>
          </w:p>
        </w:tc>
        <w:tc>
          <w:tcPr>
            <w:tcW w:w="5524" w:type="dxa"/>
            <w:vAlign w:val="center"/>
          </w:tcPr>
          <w:p w14:paraId="26B46788">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《医疗器械监督管理条例》第一百零三条。</w:t>
            </w:r>
          </w:p>
        </w:tc>
      </w:tr>
      <w:tr w14:paraId="66F8A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8" w:hRule="atLeast"/>
          <w:jc w:val="center"/>
        </w:trPr>
        <w:tc>
          <w:tcPr>
            <w:tcW w:w="748" w:type="dxa"/>
            <w:vMerge w:val="restart"/>
            <w:vAlign w:val="center"/>
          </w:tcPr>
          <w:p w14:paraId="21F5562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采购、使用、维护管理</w:t>
            </w:r>
          </w:p>
        </w:tc>
        <w:tc>
          <w:tcPr>
            <w:tcW w:w="772" w:type="dxa"/>
            <w:vAlign w:val="center"/>
          </w:tcPr>
          <w:p w14:paraId="43C9EFD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2</w:t>
            </w:r>
          </w:p>
        </w:tc>
        <w:tc>
          <w:tcPr>
            <w:tcW w:w="8511" w:type="dxa"/>
            <w:vAlign w:val="center"/>
          </w:tcPr>
          <w:p w14:paraId="2055605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bottom"/>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应当对医疗器械采购实行统一管理，由指定的部门或者人员统一采购医疗器械，其他部门或者人员不得自行采购。从具有资质的医疗器械生产经营企业购进医疗器械，索取、查验供货者资质、医疗器械注册证或者备案凭证等证明文件。对购进的医疗器械应当验明产品合格证明文件，并按规定进行验收。对有特殊储运要求的医疗器械还应当核实储运条件是否符合产品说明书和标签标示的要求。</w:t>
            </w:r>
          </w:p>
        </w:tc>
        <w:tc>
          <w:tcPr>
            <w:tcW w:w="5524" w:type="dxa"/>
            <w:vAlign w:val="center"/>
          </w:tcPr>
          <w:p w14:paraId="11E1AB53">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《医疗器械使用质量监督管理办法》第七条、第八条。</w:t>
            </w:r>
          </w:p>
        </w:tc>
      </w:tr>
      <w:tr w14:paraId="471B4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748" w:type="dxa"/>
            <w:vMerge w:val="continue"/>
            <w:vAlign w:val="center"/>
          </w:tcPr>
          <w:p w14:paraId="17C44B4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sz w:val="18"/>
                <w:szCs w:val="18"/>
              </w:rPr>
            </w:pPr>
          </w:p>
        </w:tc>
        <w:tc>
          <w:tcPr>
            <w:tcW w:w="772" w:type="dxa"/>
            <w:vAlign w:val="center"/>
          </w:tcPr>
          <w:p w14:paraId="26ACD81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3</w:t>
            </w:r>
          </w:p>
        </w:tc>
        <w:tc>
          <w:tcPr>
            <w:tcW w:w="8511" w:type="dxa"/>
            <w:vAlign w:val="center"/>
          </w:tcPr>
          <w:p w14:paraId="2AAA3ED0">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bottom"/>
              <w:outlineLvl w:val="9"/>
              <w:rPr>
                <w:rFonts w:hint="eastAsia" w:ascii="方正仿宋_GBK" w:hAnsi="方正仿宋_GBK" w:eastAsia="方正仿宋_GBK" w:cs="方正仿宋_GBK"/>
                <w:spacing w:val="-2"/>
                <w:sz w:val="18"/>
                <w:szCs w:val="18"/>
              </w:rPr>
            </w:pPr>
            <w:r>
              <w:rPr>
                <w:rFonts w:hint="eastAsia" w:ascii="方正仿宋_GBK" w:hAnsi="方正仿宋_GBK" w:eastAsia="方正仿宋_GBK" w:cs="方正仿宋_GBK"/>
                <w:spacing w:val="-2"/>
                <w:kern w:val="0"/>
                <w:sz w:val="18"/>
                <w:szCs w:val="18"/>
              </w:rPr>
              <w:t>不得购进和使用未依法注册或者备案、无合格证明文件以及过期、失效、淘汰的医疗器械。</w:t>
            </w:r>
          </w:p>
        </w:tc>
        <w:tc>
          <w:tcPr>
            <w:tcW w:w="5524" w:type="dxa"/>
            <w:vAlign w:val="center"/>
          </w:tcPr>
          <w:p w14:paraId="0FEC0B27">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《医疗器械使用质量监督管理办法》第十二条。</w:t>
            </w:r>
          </w:p>
        </w:tc>
      </w:tr>
      <w:tr w14:paraId="5C778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3" w:hRule="atLeast"/>
          <w:jc w:val="center"/>
        </w:trPr>
        <w:tc>
          <w:tcPr>
            <w:tcW w:w="748" w:type="dxa"/>
            <w:vMerge w:val="continue"/>
            <w:vAlign w:val="center"/>
          </w:tcPr>
          <w:p w14:paraId="4734F3E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sz w:val="18"/>
                <w:szCs w:val="18"/>
              </w:rPr>
            </w:pPr>
          </w:p>
        </w:tc>
        <w:tc>
          <w:tcPr>
            <w:tcW w:w="772" w:type="dxa"/>
            <w:vAlign w:val="center"/>
          </w:tcPr>
          <w:p w14:paraId="0F68050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4</w:t>
            </w:r>
          </w:p>
        </w:tc>
        <w:tc>
          <w:tcPr>
            <w:tcW w:w="8511" w:type="dxa"/>
            <w:vAlign w:val="center"/>
          </w:tcPr>
          <w:p w14:paraId="27C5717F">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bottom"/>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使用单位之间转让在用医疗器械，转让方应当确保所转让的医疗器械安全、有效，不得转让未依法注册或者备案、无合格证明文件或者检验不合格，以及过期、失效、淘汰的医疗器械，并提供产品合法证明文件。转让双方应当签订协议，移交产品说明书、使用和维修记录档案复印件等资料，并经有资质的检验机构检验合格后方可转让。受让方应当参照本办法第八条关于进货查验的规定进行查验，符合要求后方可使用。</w:t>
            </w:r>
          </w:p>
        </w:tc>
        <w:tc>
          <w:tcPr>
            <w:tcW w:w="5524" w:type="dxa"/>
            <w:vAlign w:val="center"/>
          </w:tcPr>
          <w:p w14:paraId="1A68669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《医疗器械监督管理条例》第五十六条；《医疗器械使用质量监督管理办法》第二十条。</w:t>
            </w:r>
          </w:p>
        </w:tc>
      </w:tr>
      <w:tr w14:paraId="709AF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48" w:type="dxa"/>
            <w:vMerge w:val="continue"/>
            <w:vAlign w:val="center"/>
          </w:tcPr>
          <w:p w14:paraId="1C54EE9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sz w:val="18"/>
                <w:szCs w:val="18"/>
              </w:rPr>
            </w:pPr>
          </w:p>
        </w:tc>
        <w:tc>
          <w:tcPr>
            <w:tcW w:w="772" w:type="dxa"/>
            <w:vAlign w:val="center"/>
          </w:tcPr>
          <w:p w14:paraId="14E47DA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5</w:t>
            </w:r>
          </w:p>
        </w:tc>
        <w:tc>
          <w:tcPr>
            <w:tcW w:w="8511" w:type="dxa"/>
            <w:vAlign w:val="center"/>
          </w:tcPr>
          <w:p w14:paraId="41082651">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bottom"/>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接受医疗器械生产经营企业或者其他机构、个人捐赠医疗器械的，捐赠方应当提供医疗器械的相关合法证明文件，受赠方应当参照本办法第八条关于进货查验的规定进行查验，符合要求后方可使用。不得捐赠未依法注册或者备案、无合格证明文件或者检验不合格，以及过期、失效、淘汰的医疗器械。</w:t>
            </w:r>
          </w:p>
        </w:tc>
        <w:tc>
          <w:tcPr>
            <w:tcW w:w="5524" w:type="dxa"/>
            <w:vAlign w:val="center"/>
          </w:tcPr>
          <w:p w14:paraId="145940B7">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《医疗器械使用质量监督管理办法》第二十一条。</w:t>
            </w:r>
          </w:p>
        </w:tc>
      </w:tr>
      <w:tr w14:paraId="51642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748" w:type="dxa"/>
            <w:vMerge w:val="continue"/>
            <w:vAlign w:val="center"/>
          </w:tcPr>
          <w:p w14:paraId="1AF5FAD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sz w:val="18"/>
                <w:szCs w:val="18"/>
              </w:rPr>
            </w:pPr>
          </w:p>
        </w:tc>
        <w:tc>
          <w:tcPr>
            <w:tcW w:w="772" w:type="dxa"/>
            <w:vAlign w:val="center"/>
          </w:tcPr>
          <w:p w14:paraId="641AF10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6</w:t>
            </w:r>
          </w:p>
        </w:tc>
        <w:tc>
          <w:tcPr>
            <w:tcW w:w="8511" w:type="dxa"/>
            <w:vAlign w:val="center"/>
          </w:tcPr>
          <w:p w14:paraId="5D08CAF2">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bottom"/>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应当真实、完整、准确地记录进货查验情况。记录应当保存至医疗器械规定使用期限届满后2年或者使用终止后2年。大型医疗器械进货查验记录应当保存至医疗器械规定使用期限届满后5年或者使用终止后5年；植入性医疗器械进货查验记录应当永久保存。</w:t>
            </w:r>
          </w:p>
        </w:tc>
        <w:tc>
          <w:tcPr>
            <w:tcW w:w="5524" w:type="dxa"/>
            <w:vAlign w:val="center"/>
          </w:tcPr>
          <w:p w14:paraId="57D41DD4">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《医疗器械使用质量监督管理办法》第九条。</w:t>
            </w:r>
          </w:p>
        </w:tc>
      </w:tr>
      <w:tr w14:paraId="767E4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jc w:val="center"/>
        </w:trPr>
        <w:tc>
          <w:tcPr>
            <w:tcW w:w="748" w:type="dxa"/>
            <w:vMerge w:val="restart"/>
            <w:vAlign w:val="center"/>
          </w:tcPr>
          <w:p w14:paraId="0824E11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采购、使用、维护管理</w:t>
            </w:r>
          </w:p>
        </w:tc>
        <w:tc>
          <w:tcPr>
            <w:tcW w:w="772" w:type="dxa"/>
            <w:vAlign w:val="center"/>
          </w:tcPr>
          <w:p w14:paraId="7A9F167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7</w:t>
            </w:r>
          </w:p>
        </w:tc>
        <w:tc>
          <w:tcPr>
            <w:tcW w:w="8511" w:type="dxa"/>
            <w:vAlign w:val="center"/>
          </w:tcPr>
          <w:p w14:paraId="37D93238">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bottom"/>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应当妥善保存购入第三类医疗器械的原始资料，并确保信息具有可追溯性。使用大型医疗器械以及植入和介入类医疗器械的，应当将医疗器械的名称、关键性技术参数等信息以及与使用质量安全密切相关的必要信息记载到病历等相关记录中。</w:t>
            </w:r>
          </w:p>
        </w:tc>
        <w:tc>
          <w:tcPr>
            <w:tcW w:w="5524" w:type="dxa"/>
            <w:vAlign w:val="center"/>
          </w:tcPr>
          <w:p w14:paraId="41665CA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《医疗器械监督管理条例》第五十一条。</w:t>
            </w:r>
          </w:p>
        </w:tc>
      </w:tr>
      <w:tr w14:paraId="6D79A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48" w:type="dxa"/>
            <w:vMerge w:val="continue"/>
            <w:vAlign w:val="center"/>
          </w:tcPr>
          <w:p w14:paraId="4FE5F1E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sz w:val="18"/>
                <w:szCs w:val="18"/>
              </w:rPr>
            </w:pPr>
          </w:p>
        </w:tc>
        <w:tc>
          <w:tcPr>
            <w:tcW w:w="772" w:type="dxa"/>
            <w:vAlign w:val="center"/>
          </w:tcPr>
          <w:p w14:paraId="6DF1104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8</w:t>
            </w:r>
          </w:p>
        </w:tc>
        <w:tc>
          <w:tcPr>
            <w:tcW w:w="8511" w:type="dxa"/>
            <w:vAlign w:val="center"/>
          </w:tcPr>
          <w:p w14:paraId="60B04B1C">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bottom"/>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对植入和介入类医疗器械应当建立使用记录，植入性医疗器械使用记录永久保存，相关资料应当纳入信息化管理系统，确保信息可追溯。</w:t>
            </w:r>
          </w:p>
        </w:tc>
        <w:tc>
          <w:tcPr>
            <w:tcW w:w="5524" w:type="dxa"/>
            <w:vAlign w:val="center"/>
          </w:tcPr>
          <w:p w14:paraId="367DCC74">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《医疗器械使用质量监督管理办法》第十四条。</w:t>
            </w:r>
          </w:p>
        </w:tc>
      </w:tr>
      <w:tr w14:paraId="68407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jc w:val="center"/>
        </w:trPr>
        <w:tc>
          <w:tcPr>
            <w:tcW w:w="748" w:type="dxa"/>
            <w:vMerge w:val="continue"/>
            <w:vAlign w:val="center"/>
          </w:tcPr>
          <w:p w14:paraId="0AAE9A9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sz w:val="18"/>
                <w:szCs w:val="18"/>
              </w:rPr>
            </w:pPr>
          </w:p>
        </w:tc>
        <w:tc>
          <w:tcPr>
            <w:tcW w:w="772" w:type="dxa"/>
            <w:vAlign w:val="center"/>
          </w:tcPr>
          <w:p w14:paraId="20D9DF0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9</w:t>
            </w:r>
          </w:p>
        </w:tc>
        <w:tc>
          <w:tcPr>
            <w:tcW w:w="8511" w:type="dxa"/>
            <w:vAlign w:val="center"/>
          </w:tcPr>
          <w:p w14:paraId="178A86EB">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bottom"/>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配置大型医用设备，应当符合国务院卫生主管部门制定的大型医用设备配置规划，与其功能定位、临床服务需求相适应，具有相应的技术条件、配套设施和具备相应资质、能力的专业技术人员，并经省级以上人民政府卫生健康主管部门批准，取得大型医用设备配置许可证。</w:t>
            </w:r>
          </w:p>
        </w:tc>
        <w:tc>
          <w:tcPr>
            <w:tcW w:w="5524" w:type="dxa"/>
            <w:vAlign w:val="center"/>
          </w:tcPr>
          <w:p w14:paraId="22C8F261">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《医疗器械监督管理条例》第四十八条。</w:t>
            </w:r>
          </w:p>
        </w:tc>
      </w:tr>
      <w:tr w14:paraId="65670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748" w:type="dxa"/>
            <w:vMerge w:val="continue"/>
            <w:vAlign w:val="center"/>
          </w:tcPr>
          <w:p w14:paraId="616A7C5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sz w:val="18"/>
                <w:szCs w:val="18"/>
              </w:rPr>
            </w:pPr>
          </w:p>
        </w:tc>
        <w:tc>
          <w:tcPr>
            <w:tcW w:w="772" w:type="dxa"/>
            <w:vAlign w:val="center"/>
          </w:tcPr>
          <w:p w14:paraId="6DBA91A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10</w:t>
            </w:r>
          </w:p>
        </w:tc>
        <w:tc>
          <w:tcPr>
            <w:tcW w:w="8511" w:type="dxa"/>
            <w:vAlign w:val="center"/>
          </w:tcPr>
          <w:p w14:paraId="5012EDA3">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bottom"/>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使用环节的医疗器械质量管理及其监督管理，应当遵守《医疗器械使用质量监督管理办法》。</w:t>
            </w:r>
          </w:p>
        </w:tc>
        <w:tc>
          <w:tcPr>
            <w:tcW w:w="5524" w:type="dxa"/>
            <w:vAlign w:val="center"/>
          </w:tcPr>
          <w:p w14:paraId="36FFFAE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《医疗器械使用质量监督管理办法》第二条。</w:t>
            </w:r>
          </w:p>
        </w:tc>
      </w:tr>
      <w:tr w14:paraId="44EE4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748" w:type="dxa"/>
            <w:vMerge w:val="continue"/>
            <w:vAlign w:val="center"/>
          </w:tcPr>
          <w:p w14:paraId="77ED6C1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sz w:val="18"/>
                <w:szCs w:val="18"/>
              </w:rPr>
            </w:pPr>
          </w:p>
        </w:tc>
        <w:tc>
          <w:tcPr>
            <w:tcW w:w="772" w:type="dxa"/>
            <w:vAlign w:val="center"/>
          </w:tcPr>
          <w:p w14:paraId="673CC03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11</w:t>
            </w:r>
          </w:p>
        </w:tc>
        <w:tc>
          <w:tcPr>
            <w:tcW w:w="8511" w:type="dxa"/>
            <w:vAlign w:val="center"/>
          </w:tcPr>
          <w:p w14:paraId="0CA9389D">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bottom"/>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应当按照《医疗器械使用质量监督管理办法》，配备与其规模相适应的医疗器械质量管理机构或者质量管理人员，建立覆盖质量管理全过程的使用质量管理制度，承担本单位使用医疗器械的质量管理责任。</w:t>
            </w:r>
          </w:p>
        </w:tc>
        <w:tc>
          <w:tcPr>
            <w:tcW w:w="5524" w:type="dxa"/>
            <w:vAlign w:val="center"/>
          </w:tcPr>
          <w:p w14:paraId="46BEE715">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《医疗器械使用质量监督管理办法》第四条。</w:t>
            </w:r>
          </w:p>
        </w:tc>
      </w:tr>
      <w:tr w14:paraId="030DB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atLeast"/>
          <w:jc w:val="center"/>
        </w:trPr>
        <w:tc>
          <w:tcPr>
            <w:tcW w:w="748" w:type="dxa"/>
            <w:vMerge w:val="continue"/>
            <w:vAlign w:val="center"/>
          </w:tcPr>
          <w:p w14:paraId="178B122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sz w:val="18"/>
                <w:szCs w:val="18"/>
              </w:rPr>
            </w:pPr>
          </w:p>
        </w:tc>
        <w:tc>
          <w:tcPr>
            <w:tcW w:w="772" w:type="dxa"/>
            <w:vAlign w:val="center"/>
          </w:tcPr>
          <w:p w14:paraId="7B8BC7D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12</w:t>
            </w:r>
          </w:p>
        </w:tc>
        <w:tc>
          <w:tcPr>
            <w:tcW w:w="8511" w:type="dxa"/>
            <w:vAlign w:val="center"/>
          </w:tcPr>
          <w:p w14:paraId="0330BC2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bottom"/>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使用单位应当建立医疗器械使用前质量检查制度。在使用医疗器械前，应当按照产品说明书的有关要求进行检查。使用无菌医疗器械前，应当检查直接接触医疗器械的包装及其有效期限。包装破损、标示不清、超过有效期限或者可能影响使用安全、有效的，不得使用。</w:t>
            </w:r>
          </w:p>
        </w:tc>
        <w:tc>
          <w:tcPr>
            <w:tcW w:w="5524" w:type="dxa"/>
            <w:vAlign w:val="center"/>
          </w:tcPr>
          <w:p w14:paraId="6D844E96">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《医疗器械使用质量监督管理办法》第十三条。</w:t>
            </w:r>
          </w:p>
        </w:tc>
      </w:tr>
      <w:tr w14:paraId="69FF1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748" w:type="dxa"/>
            <w:vMerge w:val="continue"/>
            <w:vAlign w:val="center"/>
          </w:tcPr>
          <w:p w14:paraId="5510391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sz w:val="18"/>
                <w:szCs w:val="18"/>
              </w:rPr>
            </w:pPr>
          </w:p>
        </w:tc>
        <w:tc>
          <w:tcPr>
            <w:tcW w:w="772" w:type="dxa"/>
            <w:vAlign w:val="center"/>
          </w:tcPr>
          <w:p w14:paraId="7FC1B11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13</w:t>
            </w:r>
          </w:p>
        </w:tc>
        <w:tc>
          <w:tcPr>
            <w:tcW w:w="8511" w:type="dxa"/>
            <w:vAlign w:val="center"/>
          </w:tcPr>
          <w:p w14:paraId="33FB4D9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bottom"/>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应当加强对工作人员的技术培训，按照产品说明书、技术操作规范等要求使用医疗器械。对重复使用的医疗器械，应当按照国务院卫生健康主管部门制定的消毒和管理的规定进行处理。一次性使用的医疗器械不得重复使用，对使用过的应当按照国家有关规定销毁并记录。</w:t>
            </w:r>
          </w:p>
        </w:tc>
        <w:tc>
          <w:tcPr>
            <w:tcW w:w="5524" w:type="dxa"/>
            <w:vAlign w:val="center"/>
          </w:tcPr>
          <w:p w14:paraId="635CD532">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bottom"/>
              <w:outlineLvl w:val="9"/>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《医疗器械监督管理条例》第四十八条、第四十九条；《医疗器械使用质量监督管理办法》第十六条。</w:t>
            </w:r>
          </w:p>
        </w:tc>
      </w:tr>
      <w:tr w14:paraId="64D19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jc w:val="center"/>
        </w:trPr>
        <w:tc>
          <w:tcPr>
            <w:tcW w:w="748" w:type="dxa"/>
            <w:vMerge w:val="restart"/>
            <w:vAlign w:val="center"/>
          </w:tcPr>
          <w:p w14:paraId="53D4E4B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采购、使用、维护管理</w:t>
            </w:r>
          </w:p>
        </w:tc>
        <w:tc>
          <w:tcPr>
            <w:tcW w:w="772" w:type="dxa"/>
            <w:vAlign w:val="center"/>
          </w:tcPr>
          <w:p w14:paraId="2BB6D85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14</w:t>
            </w:r>
          </w:p>
        </w:tc>
        <w:tc>
          <w:tcPr>
            <w:tcW w:w="8511" w:type="dxa"/>
            <w:vAlign w:val="center"/>
          </w:tcPr>
          <w:p w14:paraId="0384F4D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bottom"/>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贮存医疗器械的场所、设施及条件应当与医疗器械品种、数量相适应，符合产品说明书、标签标示的要求及使用安全、有效的需要；对温度、湿度等环境条件有特殊要求的，还应当监测和记录贮存区域的温度、湿度等数据。应当按照贮存条件、医疗器械有效期限等要求对贮存的医疗器械进行定期检查并记录。</w:t>
            </w:r>
          </w:p>
        </w:tc>
        <w:tc>
          <w:tcPr>
            <w:tcW w:w="5524" w:type="dxa"/>
            <w:vAlign w:val="center"/>
          </w:tcPr>
          <w:p w14:paraId="1C4BA68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《医疗器械监督管理条例》第四十八条；《医疗器械使用质量监督管理办法》第四条、第十条、第十一条。</w:t>
            </w:r>
          </w:p>
        </w:tc>
      </w:tr>
      <w:tr w14:paraId="526F7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7" w:hRule="atLeast"/>
          <w:jc w:val="center"/>
        </w:trPr>
        <w:tc>
          <w:tcPr>
            <w:tcW w:w="748" w:type="dxa"/>
            <w:vMerge w:val="continue"/>
            <w:vAlign w:val="center"/>
          </w:tcPr>
          <w:p w14:paraId="650936C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sz w:val="18"/>
                <w:szCs w:val="18"/>
              </w:rPr>
            </w:pPr>
          </w:p>
        </w:tc>
        <w:tc>
          <w:tcPr>
            <w:tcW w:w="772" w:type="dxa"/>
            <w:vAlign w:val="center"/>
          </w:tcPr>
          <w:p w14:paraId="72367F3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15</w:t>
            </w:r>
          </w:p>
        </w:tc>
        <w:tc>
          <w:tcPr>
            <w:tcW w:w="8511" w:type="dxa"/>
            <w:vAlign w:val="center"/>
          </w:tcPr>
          <w:p w14:paraId="59E0244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bottom"/>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应当建立医疗器械维护维修管理制度。应当按照产品说明书的要求对需要定期检查、检验、校准、保养、维护的医疗器械进行检查、检验、校准、保养、维护并予以记录，及时进行分析、评估，确保医疗器械处于良好状态，保障使用质量；对使用期限长的大型医疗器械，应当逐台建立使用档案，记录其使用、维护、转让、实际使用时间等事项。记录保存期限不得少于医疗器械规定使用期限终止后5年。</w:t>
            </w:r>
          </w:p>
        </w:tc>
        <w:tc>
          <w:tcPr>
            <w:tcW w:w="5524" w:type="dxa"/>
            <w:vAlign w:val="center"/>
          </w:tcPr>
          <w:p w14:paraId="5C67B9D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《医疗器械监督管理条例》第五十条；《医疗器械使用质量监督管理办法》第十五条。</w:t>
            </w:r>
          </w:p>
        </w:tc>
      </w:tr>
      <w:tr w14:paraId="03A88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jc w:val="center"/>
        </w:trPr>
        <w:tc>
          <w:tcPr>
            <w:tcW w:w="748" w:type="dxa"/>
            <w:vMerge w:val="continue"/>
            <w:vAlign w:val="center"/>
          </w:tcPr>
          <w:p w14:paraId="7E63EB62">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sz w:val="18"/>
                <w:szCs w:val="18"/>
              </w:rPr>
            </w:pPr>
          </w:p>
        </w:tc>
        <w:tc>
          <w:tcPr>
            <w:tcW w:w="772" w:type="dxa"/>
            <w:vAlign w:val="center"/>
          </w:tcPr>
          <w:p w14:paraId="317FAA4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16</w:t>
            </w:r>
          </w:p>
        </w:tc>
        <w:tc>
          <w:tcPr>
            <w:tcW w:w="8511" w:type="dxa"/>
            <w:vAlign w:val="center"/>
          </w:tcPr>
          <w:p w14:paraId="1E0692A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bottom"/>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由医疗器械生产经营企业或者维修服务机构对医疗器械进行维护维修的，医疗器械使用单位应当在合同中约定明确的质量要求、维修要求等相关事项，医疗器械使用单位应当在每次维护维修后索取并保存相关记录；医疗器械使用单位自行对医疗器械进行维护维修的，应当加强对从事医疗器械维护维修的技术人员的培训考核，并建立培训档案。</w:t>
            </w:r>
          </w:p>
        </w:tc>
        <w:tc>
          <w:tcPr>
            <w:tcW w:w="5524" w:type="dxa"/>
            <w:vAlign w:val="center"/>
          </w:tcPr>
          <w:p w14:paraId="0F8788C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《医疗器械使用质量监督管理办法》第十八条。</w:t>
            </w:r>
          </w:p>
        </w:tc>
      </w:tr>
      <w:tr w14:paraId="64F91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748" w:type="dxa"/>
            <w:vMerge w:val="continue"/>
            <w:vAlign w:val="center"/>
          </w:tcPr>
          <w:p w14:paraId="1C81816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sz w:val="18"/>
                <w:szCs w:val="18"/>
              </w:rPr>
            </w:pPr>
          </w:p>
        </w:tc>
        <w:tc>
          <w:tcPr>
            <w:tcW w:w="772" w:type="dxa"/>
            <w:vAlign w:val="center"/>
          </w:tcPr>
          <w:p w14:paraId="702832E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17</w:t>
            </w:r>
          </w:p>
        </w:tc>
        <w:tc>
          <w:tcPr>
            <w:tcW w:w="8511" w:type="dxa"/>
            <w:vAlign w:val="center"/>
          </w:tcPr>
          <w:p w14:paraId="439BE811">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bottom"/>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发现使用的医疗器械存在安全隐患的，应当立即停止使用，并通知医疗器械注册人、备案人或者其他负责产品质量的机构进行检修；经检修仍不能达到使用安全标准的医疗器械，不得继续使用。</w:t>
            </w:r>
          </w:p>
        </w:tc>
        <w:tc>
          <w:tcPr>
            <w:tcW w:w="5524" w:type="dxa"/>
            <w:vAlign w:val="center"/>
          </w:tcPr>
          <w:p w14:paraId="2EE5754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《医疗器械监督管理条例》第五十二条；《医疗器械使用质量监督管理办法》第十九条。</w:t>
            </w:r>
          </w:p>
        </w:tc>
      </w:tr>
      <w:tr w14:paraId="3EFD4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jc w:val="center"/>
        </w:trPr>
        <w:tc>
          <w:tcPr>
            <w:tcW w:w="748" w:type="dxa"/>
            <w:vMerge w:val="restart"/>
            <w:vAlign w:val="center"/>
          </w:tcPr>
          <w:p w14:paraId="5DC0423C">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不良事件处理</w:t>
            </w:r>
          </w:p>
        </w:tc>
        <w:tc>
          <w:tcPr>
            <w:tcW w:w="772" w:type="dxa"/>
            <w:vAlign w:val="center"/>
          </w:tcPr>
          <w:p w14:paraId="732F77D8">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18</w:t>
            </w:r>
          </w:p>
        </w:tc>
        <w:tc>
          <w:tcPr>
            <w:tcW w:w="8511" w:type="dxa"/>
            <w:vAlign w:val="center"/>
          </w:tcPr>
          <w:p w14:paraId="1C57112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bottom"/>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二级以上医疗机构应当注册为国家医疗器械不良事件监测信息系统用户，主动维护其用户信息，报告医疗器械不良事件。</w:t>
            </w:r>
          </w:p>
        </w:tc>
        <w:tc>
          <w:tcPr>
            <w:tcW w:w="5524" w:type="dxa"/>
            <w:vAlign w:val="center"/>
          </w:tcPr>
          <w:p w14:paraId="64FF2C8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《医疗器械不良事件监测和再评价管理办法》第十九条。</w:t>
            </w:r>
          </w:p>
        </w:tc>
      </w:tr>
      <w:tr w14:paraId="229B8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48" w:type="dxa"/>
            <w:vMerge w:val="continue"/>
            <w:vAlign w:val="center"/>
          </w:tcPr>
          <w:p w14:paraId="36EAA43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sz w:val="18"/>
                <w:szCs w:val="18"/>
              </w:rPr>
            </w:pPr>
          </w:p>
        </w:tc>
        <w:tc>
          <w:tcPr>
            <w:tcW w:w="772" w:type="dxa"/>
            <w:vAlign w:val="center"/>
          </w:tcPr>
          <w:p w14:paraId="67A7ED2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19</w:t>
            </w:r>
          </w:p>
        </w:tc>
        <w:tc>
          <w:tcPr>
            <w:tcW w:w="8511" w:type="dxa"/>
            <w:vAlign w:val="center"/>
          </w:tcPr>
          <w:p w14:paraId="25EF4195">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bottom"/>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应当向医疗器械上市许可持有人和监测机构报告医疗器械不良事件。</w:t>
            </w:r>
          </w:p>
        </w:tc>
        <w:tc>
          <w:tcPr>
            <w:tcW w:w="5524" w:type="dxa"/>
            <w:vAlign w:val="center"/>
          </w:tcPr>
          <w:p w14:paraId="6928FC60">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《医疗器械不良事件监测和再评价管理办法》第三条。</w:t>
            </w:r>
          </w:p>
        </w:tc>
      </w:tr>
      <w:tr w14:paraId="7AB57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0" w:hRule="atLeast"/>
          <w:jc w:val="center"/>
        </w:trPr>
        <w:tc>
          <w:tcPr>
            <w:tcW w:w="748" w:type="dxa"/>
            <w:vMerge w:val="restart"/>
            <w:vAlign w:val="center"/>
          </w:tcPr>
          <w:p w14:paraId="58D7BBD9">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不良事件处理</w:t>
            </w:r>
          </w:p>
        </w:tc>
        <w:tc>
          <w:tcPr>
            <w:tcW w:w="772" w:type="dxa"/>
            <w:vAlign w:val="center"/>
          </w:tcPr>
          <w:p w14:paraId="4002A80A">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20</w:t>
            </w:r>
          </w:p>
        </w:tc>
        <w:tc>
          <w:tcPr>
            <w:tcW w:w="8511" w:type="dxa"/>
            <w:vAlign w:val="center"/>
          </w:tcPr>
          <w:p w14:paraId="0BD3045D">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bottom"/>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应当建立医疗器械不良事件监测工作制度，将医疗器械不良事件监测纳入医疗机构质量安全管理重点工作;配备机构或者人员从事医疗器械不良事件监测相关工作;收集医疗器械不良事件，及时向持有人报告，并按照要求向监测机构报告；配合持有人对医疗器械不良事件的调查、评价和医疗器械再评价工作；配合药品监督管理部门和监测机构组织开展的不良事件调查。</w:t>
            </w:r>
          </w:p>
        </w:tc>
        <w:tc>
          <w:tcPr>
            <w:tcW w:w="5524" w:type="dxa"/>
            <w:vAlign w:val="center"/>
          </w:tcPr>
          <w:p w14:paraId="0A957A95">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《医疗器械不良事件监测和再评价管理办法》第十六条。</w:t>
            </w:r>
          </w:p>
        </w:tc>
      </w:tr>
      <w:tr w14:paraId="75793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48" w:type="dxa"/>
            <w:vMerge w:val="continue"/>
            <w:vAlign w:val="center"/>
          </w:tcPr>
          <w:p w14:paraId="226CC2A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sz w:val="18"/>
                <w:szCs w:val="18"/>
              </w:rPr>
            </w:pPr>
          </w:p>
        </w:tc>
        <w:tc>
          <w:tcPr>
            <w:tcW w:w="772" w:type="dxa"/>
            <w:vAlign w:val="center"/>
          </w:tcPr>
          <w:p w14:paraId="0D4C8E4E">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21</w:t>
            </w:r>
          </w:p>
        </w:tc>
        <w:tc>
          <w:tcPr>
            <w:tcW w:w="8511" w:type="dxa"/>
            <w:vAlign w:val="center"/>
          </w:tcPr>
          <w:p w14:paraId="3CC2F641">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bottom"/>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导致或者可能导致严重伤害或者死亡的可疑医疗器械不良事件应当报告；创新医疗器械在首个注册周期内，应当报告该产品的所有医疗器械不良事件。</w:t>
            </w:r>
          </w:p>
        </w:tc>
        <w:tc>
          <w:tcPr>
            <w:tcW w:w="5524" w:type="dxa"/>
            <w:vAlign w:val="center"/>
          </w:tcPr>
          <w:p w14:paraId="584F927A">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《医疗器械不良事件监测和再评价管理办法》第十八条。</w:t>
            </w:r>
          </w:p>
        </w:tc>
      </w:tr>
      <w:tr w14:paraId="6ABC2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9" w:hRule="atLeast"/>
          <w:jc w:val="center"/>
        </w:trPr>
        <w:tc>
          <w:tcPr>
            <w:tcW w:w="748" w:type="dxa"/>
            <w:vMerge w:val="continue"/>
            <w:vAlign w:val="center"/>
          </w:tcPr>
          <w:p w14:paraId="20B502D6">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sz w:val="18"/>
                <w:szCs w:val="18"/>
              </w:rPr>
            </w:pPr>
          </w:p>
        </w:tc>
        <w:tc>
          <w:tcPr>
            <w:tcW w:w="772" w:type="dxa"/>
            <w:vAlign w:val="center"/>
          </w:tcPr>
          <w:p w14:paraId="603DAFA4">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22</w:t>
            </w:r>
          </w:p>
        </w:tc>
        <w:tc>
          <w:tcPr>
            <w:tcW w:w="8511" w:type="dxa"/>
            <w:vAlign w:val="center"/>
          </w:tcPr>
          <w:p w14:paraId="1EAD57C5">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bottom"/>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发现或者获知可疑医疗器械不良事件的，应当及时告知持有人，并通过国家医疗器械不良事件监测信息系统报告。其中，导致死亡的应在7日内，导致严重伤害、可能导致严重伤害或者死亡的在20日内，群体的24小时内按个例事件，通过国家医疗器械不良事件监测信息系统报告。发现或者获知群体医疗器械不良事件后，应当在12小时内通过电话或者传真等方式报告不良事件发生地省、自治区、直辖市药品监督管理部门和卫生健康部门，必要时可以越级报告，还应当在12小时内告知持有人，同时迅速开展自查，并配合持有人开展调查，必要时，应当暂停医疗器械的销售、使用，并协助相关单位采取相关控制措施。</w:t>
            </w:r>
          </w:p>
        </w:tc>
        <w:tc>
          <w:tcPr>
            <w:tcW w:w="5524" w:type="dxa"/>
            <w:vAlign w:val="center"/>
          </w:tcPr>
          <w:p w14:paraId="5A3B2FA4">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《医疗器械不良事件监测和再评价管理办法》第二十条、第二十五条、第三十一条、第三十三条；《医疗器械使用质量监督管理办法》第六条。</w:t>
            </w:r>
          </w:p>
        </w:tc>
      </w:tr>
      <w:tr w14:paraId="7E9B6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748" w:type="dxa"/>
            <w:vMerge w:val="continue"/>
            <w:vAlign w:val="center"/>
          </w:tcPr>
          <w:p w14:paraId="55F7F2E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outlineLvl w:val="9"/>
              <w:rPr>
                <w:rFonts w:hint="eastAsia" w:ascii="方正仿宋_GBK" w:hAnsi="方正仿宋_GBK" w:eastAsia="方正仿宋_GBK" w:cs="方正仿宋_GBK"/>
                <w:sz w:val="18"/>
                <w:szCs w:val="18"/>
              </w:rPr>
            </w:pPr>
          </w:p>
        </w:tc>
        <w:tc>
          <w:tcPr>
            <w:tcW w:w="772" w:type="dxa"/>
            <w:vAlign w:val="center"/>
          </w:tcPr>
          <w:p w14:paraId="0AF0B1A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23</w:t>
            </w:r>
          </w:p>
        </w:tc>
        <w:tc>
          <w:tcPr>
            <w:tcW w:w="8511" w:type="dxa"/>
            <w:vAlign w:val="center"/>
          </w:tcPr>
          <w:p w14:paraId="4A3E703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bottom"/>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应当建立并保存医疗器械不良事件监测记录，保存至有效期后2年；无有效期的，保存期限不得少于5年；植入性医疗器械的监测记录应当永久保存，医疗机构应当按照病例相关规定保存。</w:t>
            </w:r>
          </w:p>
        </w:tc>
        <w:tc>
          <w:tcPr>
            <w:tcW w:w="5524" w:type="dxa"/>
            <w:vAlign w:val="center"/>
          </w:tcPr>
          <w:p w14:paraId="3556535A">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《医疗器械不良事件监测和再评价管理办法》第二十二条。</w:t>
            </w:r>
          </w:p>
        </w:tc>
      </w:tr>
      <w:tr w14:paraId="724F0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9" w:hRule="atLeast"/>
          <w:jc w:val="center"/>
        </w:trPr>
        <w:tc>
          <w:tcPr>
            <w:tcW w:w="748" w:type="dxa"/>
            <w:vAlign w:val="center"/>
          </w:tcPr>
          <w:p w14:paraId="1D03E123">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抽查检验</w:t>
            </w:r>
          </w:p>
        </w:tc>
        <w:tc>
          <w:tcPr>
            <w:tcW w:w="772" w:type="dxa"/>
            <w:vAlign w:val="center"/>
          </w:tcPr>
          <w:p w14:paraId="227928EF">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24</w:t>
            </w:r>
          </w:p>
        </w:tc>
        <w:tc>
          <w:tcPr>
            <w:tcW w:w="8511" w:type="dxa"/>
            <w:vAlign w:val="center"/>
          </w:tcPr>
          <w:p w14:paraId="3EF81170">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bottom"/>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应当配合药品监督管理部门组织实施的医疗器械质量抽查检验，不得干扰、阻挠或者拒绝抽查检验工作，不得转移、藏匿医疗器械，不得拒绝提供证明材料或者故意提供虚假资料。对抽查检验发现的不符合规定的产品，应当积极采取措施控制风险，保证医疗器械使用安全。因故不能提供样品的，应当说明原因并提供有关证明材料。</w:t>
            </w:r>
          </w:p>
        </w:tc>
        <w:tc>
          <w:tcPr>
            <w:tcW w:w="5524" w:type="dxa"/>
            <w:vAlign w:val="center"/>
          </w:tcPr>
          <w:p w14:paraId="4CF64950">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center"/>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《医疗器械质量抽查检验管理办法》第六条、第二十一条。</w:t>
            </w:r>
          </w:p>
        </w:tc>
      </w:tr>
    </w:tbl>
    <w:p w14:paraId="0329E706">
      <w:pPr>
        <w:keepNext w:val="0"/>
        <w:keepLines w:val="0"/>
        <w:pageBreakBefore w:val="0"/>
        <w:widowControl w:val="0"/>
        <w:kinsoku/>
        <w:wordWrap/>
        <w:overflowPunct/>
        <w:topLinePunct w:val="0"/>
        <w:autoSpaceDE/>
        <w:autoSpaceDN/>
        <w:bidi w:val="0"/>
        <w:adjustRightInd/>
        <w:snapToGrid/>
        <w:spacing w:line="100" w:lineRule="exact"/>
        <w:ind w:left="0" w:leftChars="0" w:right="0" w:rightChars="0" w:firstLine="0" w:firstLineChars="0"/>
        <w:jc w:val="both"/>
        <w:textAlignment w:val="auto"/>
        <w:outlineLvl w:val="9"/>
        <w:rPr>
          <w:rFonts w:ascii="Times New Roman" w:hAnsi="Times New Roman"/>
        </w:rPr>
      </w:pPr>
    </w:p>
    <w:tbl>
      <w:tblPr>
        <w:tblStyle w:val="9"/>
        <w:tblW w:w="15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68"/>
        <w:gridCol w:w="8509"/>
        <w:gridCol w:w="5526"/>
      </w:tblGrid>
      <w:tr w14:paraId="3DD6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jc w:val="center"/>
        </w:trPr>
        <w:tc>
          <w:tcPr>
            <w:tcW w:w="745" w:type="dxa"/>
            <w:vAlign w:val="center"/>
          </w:tcPr>
          <w:p w14:paraId="6929BD28">
            <w:pPr>
              <w:widowControl/>
              <w:spacing w:line="400" w:lineRule="exact"/>
              <w:jc w:val="center"/>
              <w:rPr>
                <w:rFonts w:eastAsia="方正黑体_GBK" w:cs="宋体"/>
                <w:kern w:val="0"/>
                <w:sz w:val="18"/>
                <w:szCs w:val="18"/>
              </w:rPr>
            </w:pPr>
            <w:r>
              <w:rPr>
                <w:rFonts w:hint="eastAsia" w:eastAsia="方正黑体_GBK" w:cs="宋体"/>
                <w:kern w:val="0"/>
                <w:sz w:val="18"/>
                <w:szCs w:val="18"/>
              </w:rPr>
              <w:t>表18</w:t>
            </w:r>
          </w:p>
        </w:tc>
        <w:tc>
          <w:tcPr>
            <w:tcW w:w="14803" w:type="dxa"/>
            <w:gridSpan w:val="3"/>
            <w:vAlign w:val="center"/>
          </w:tcPr>
          <w:p w14:paraId="3B7BDD9E">
            <w:pPr>
              <w:widowControl/>
              <w:spacing w:line="400" w:lineRule="exact"/>
              <w:jc w:val="center"/>
              <w:rPr>
                <w:rFonts w:eastAsia="方正黑体_GBK" w:cs="宋体"/>
                <w:bCs/>
                <w:kern w:val="0"/>
                <w:sz w:val="18"/>
                <w:szCs w:val="18"/>
              </w:rPr>
            </w:pPr>
            <w:r>
              <w:rPr>
                <w:rFonts w:hint="eastAsia" w:eastAsia="方正黑体_GBK" w:cs="宋体"/>
                <w:bCs/>
                <w:kern w:val="0"/>
                <w:sz w:val="18"/>
                <w:szCs w:val="18"/>
              </w:rPr>
              <w:t>化妆品经营者主体责任清单</w:t>
            </w:r>
          </w:p>
        </w:tc>
      </w:tr>
      <w:tr w14:paraId="5CBA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blHeader/>
          <w:jc w:val="center"/>
        </w:trPr>
        <w:tc>
          <w:tcPr>
            <w:tcW w:w="745" w:type="dxa"/>
            <w:vAlign w:val="center"/>
          </w:tcPr>
          <w:p w14:paraId="1B73BB8B">
            <w:pPr>
              <w:widowControl/>
              <w:spacing w:line="400" w:lineRule="exact"/>
              <w:jc w:val="center"/>
              <w:rPr>
                <w:rFonts w:eastAsia="方正黑体_GBK" w:cs="宋体"/>
                <w:bCs/>
                <w:kern w:val="0"/>
                <w:sz w:val="18"/>
                <w:szCs w:val="18"/>
              </w:rPr>
            </w:pPr>
            <w:r>
              <w:rPr>
                <w:rFonts w:hint="eastAsia" w:eastAsia="方正黑体_GBK" w:cs="宋体"/>
                <w:bCs/>
                <w:kern w:val="0"/>
                <w:sz w:val="18"/>
                <w:szCs w:val="18"/>
              </w:rPr>
              <w:t>分类</w:t>
            </w:r>
          </w:p>
        </w:tc>
        <w:tc>
          <w:tcPr>
            <w:tcW w:w="768" w:type="dxa"/>
            <w:vAlign w:val="center"/>
          </w:tcPr>
          <w:p w14:paraId="0C1271C0">
            <w:pPr>
              <w:widowControl/>
              <w:spacing w:line="400" w:lineRule="exact"/>
              <w:jc w:val="center"/>
              <w:rPr>
                <w:rFonts w:eastAsia="方正黑体_GBK" w:cs="宋体"/>
                <w:bCs/>
                <w:kern w:val="0"/>
                <w:sz w:val="18"/>
                <w:szCs w:val="18"/>
              </w:rPr>
            </w:pPr>
            <w:r>
              <w:rPr>
                <w:rFonts w:hint="eastAsia" w:eastAsia="方正黑体_GBK" w:cs="宋体"/>
                <w:bCs/>
                <w:kern w:val="0"/>
                <w:sz w:val="18"/>
                <w:szCs w:val="18"/>
              </w:rPr>
              <w:t>序号</w:t>
            </w:r>
          </w:p>
        </w:tc>
        <w:tc>
          <w:tcPr>
            <w:tcW w:w="8509" w:type="dxa"/>
            <w:vAlign w:val="center"/>
          </w:tcPr>
          <w:p w14:paraId="4479B6EB">
            <w:pPr>
              <w:widowControl/>
              <w:spacing w:line="400" w:lineRule="exact"/>
              <w:jc w:val="center"/>
              <w:rPr>
                <w:rFonts w:eastAsia="方正黑体_GBK" w:cs="宋体"/>
                <w:bCs/>
                <w:kern w:val="0"/>
                <w:sz w:val="18"/>
                <w:szCs w:val="18"/>
              </w:rPr>
            </w:pPr>
            <w:r>
              <w:rPr>
                <w:rFonts w:hint="eastAsia" w:eastAsia="方正黑体_GBK" w:cs="宋体"/>
                <w:bCs/>
                <w:kern w:val="0"/>
                <w:sz w:val="18"/>
                <w:szCs w:val="18"/>
              </w:rPr>
              <w:t>主体责任</w:t>
            </w:r>
          </w:p>
        </w:tc>
        <w:tc>
          <w:tcPr>
            <w:tcW w:w="5526" w:type="dxa"/>
            <w:vAlign w:val="center"/>
          </w:tcPr>
          <w:p w14:paraId="30C07C75">
            <w:pPr>
              <w:widowControl/>
              <w:spacing w:line="400" w:lineRule="exact"/>
              <w:jc w:val="center"/>
              <w:rPr>
                <w:rFonts w:eastAsia="方正黑体_GBK" w:cs="宋体"/>
                <w:bCs/>
                <w:kern w:val="0"/>
                <w:sz w:val="18"/>
                <w:szCs w:val="18"/>
              </w:rPr>
            </w:pPr>
            <w:r>
              <w:rPr>
                <w:rFonts w:hint="eastAsia" w:eastAsia="方正黑体_GBK" w:cs="宋体"/>
                <w:bCs/>
                <w:kern w:val="0"/>
                <w:sz w:val="18"/>
                <w:szCs w:val="18"/>
              </w:rPr>
              <w:t>责任依据</w:t>
            </w:r>
          </w:p>
        </w:tc>
      </w:tr>
      <w:tr w14:paraId="594D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45" w:type="dxa"/>
            <w:vAlign w:val="center"/>
          </w:tcPr>
          <w:p w14:paraId="17E7A3F3">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主体资格</w:t>
            </w:r>
          </w:p>
        </w:tc>
        <w:tc>
          <w:tcPr>
            <w:tcW w:w="768" w:type="dxa"/>
            <w:vAlign w:val="center"/>
          </w:tcPr>
          <w:p w14:paraId="0E63FAF0">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1</w:t>
            </w:r>
          </w:p>
        </w:tc>
        <w:tc>
          <w:tcPr>
            <w:tcW w:w="8509" w:type="dxa"/>
            <w:vAlign w:val="center"/>
          </w:tcPr>
          <w:p w14:paraId="3CFA2F57">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应当依法办理市场主体登记。亮照经营，经营范围涵盖化妆品。</w:t>
            </w:r>
          </w:p>
        </w:tc>
        <w:tc>
          <w:tcPr>
            <w:tcW w:w="5526" w:type="dxa"/>
            <w:vAlign w:val="center"/>
          </w:tcPr>
          <w:p w14:paraId="304F666B">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《中华人民共和国市场主体登记管理条例》第三条、第三十六条。</w:t>
            </w:r>
          </w:p>
        </w:tc>
      </w:tr>
      <w:tr w14:paraId="71F0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jc w:val="center"/>
        </w:trPr>
        <w:tc>
          <w:tcPr>
            <w:tcW w:w="745" w:type="dxa"/>
            <w:vAlign w:val="center"/>
          </w:tcPr>
          <w:p w14:paraId="21B72888">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进货查验</w:t>
            </w:r>
          </w:p>
        </w:tc>
        <w:tc>
          <w:tcPr>
            <w:tcW w:w="768" w:type="dxa"/>
            <w:vAlign w:val="center"/>
          </w:tcPr>
          <w:p w14:paraId="6228BF35">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2</w:t>
            </w:r>
          </w:p>
        </w:tc>
        <w:tc>
          <w:tcPr>
            <w:tcW w:w="8509" w:type="dxa"/>
            <w:vAlign w:val="center"/>
          </w:tcPr>
          <w:p w14:paraId="36DA571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spacing w:val="-4"/>
                <w:kern w:val="0"/>
                <w:sz w:val="18"/>
                <w:szCs w:val="18"/>
                <w:lang w:bidi="ar"/>
              </w:rPr>
            </w:pPr>
            <w:r>
              <w:rPr>
                <w:rFonts w:hint="eastAsia" w:ascii="方正仿宋_GBK" w:hAnsi="方正仿宋_GBK" w:eastAsia="方正仿宋_GBK" w:cs="方正仿宋_GBK"/>
                <w:bCs/>
                <w:spacing w:val="-4"/>
                <w:kern w:val="0"/>
                <w:sz w:val="18"/>
                <w:szCs w:val="18"/>
                <w:lang w:bidi="ar"/>
              </w:rPr>
              <w:t>依法建立并执行进货查验记录制度，如实记录产品相关信息并保存相关凭证。具体查验内容：</w:t>
            </w:r>
          </w:p>
          <w:p w14:paraId="302C618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（1）查验直接供货者的市场主体登记证明，严格索证索票管理，确保产品来源合法合规；</w:t>
            </w:r>
          </w:p>
          <w:p w14:paraId="44F0998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（2）查验特殊化妆品注册信息或者普通化妆品备案信息，禁止经营未经注册或备案的化妆品（登录国家药品监督管理局网站查询化妆品注册备案信息）；</w:t>
            </w:r>
          </w:p>
          <w:p w14:paraId="78DDB7C2">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（3）查验化妆品的产品出厂检验合格证明及产品相关信息；进口化妆品（含参照进口化妆品管理）是否经海关检验检疫，是否有合法来源证明等凭证；如实记录并保存相关凭证；</w:t>
            </w:r>
          </w:p>
          <w:p w14:paraId="599EDA7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（4）进货查验记录要求真实、完整，保证可追溯；</w:t>
            </w:r>
          </w:p>
          <w:p w14:paraId="7D94CC0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（5）进货查验记录保存期限：不得少于化妆品使用期限届满后1年；产品使用期限不足1年的，记录保存期限不得少于2年。</w:t>
            </w:r>
          </w:p>
        </w:tc>
        <w:tc>
          <w:tcPr>
            <w:tcW w:w="5526" w:type="dxa"/>
            <w:vAlign w:val="center"/>
          </w:tcPr>
          <w:p w14:paraId="29315E67">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《化妆品监督管理条例》第四条、第六条</w:t>
            </w:r>
            <w:r>
              <w:rPr>
                <w:rFonts w:hint="eastAsia" w:ascii="方正仿宋_GBK" w:hAnsi="方正仿宋_GBK" w:eastAsia="方正仿宋_GBK" w:cs="方正仿宋_GBK"/>
                <w:bCs/>
                <w:kern w:val="0"/>
                <w:sz w:val="18"/>
                <w:szCs w:val="18"/>
              </w:rPr>
              <w:t>、</w:t>
            </w:r>
            <w:r>
              <w:rPr>
                <w:rFonts w:hint="eastAsia" w:ascii="方正仿宋_GBK" w:hAnsi="方正仿宋_GBK" w:eastAsia="方正仿宋_GBK" w:cs="方正仿宋_GBK"/>
                <w:bCs/>
                <w:kern w:val="0"/>
                <w:sz w:val="18"/>
                <w:szCs w:val="18"/>
                <w:lang w:bidi="ar"/>
              </w:rPr>
              <w:t>第十七条</w:t>
            </w:r>
            <w:r>
              <w:rPr>
                <w:rFonts w:hint="eastAsia" w:ascii="方正仿宋_GBK" w:hAnsi="方正仿宋_GBK" w:eastAsia="方正仿宋_GBK" w:cs="方正仿宋_GBK"/>
                <w:bCs/>
                <w:kern w:val="0"/>
                <w:sz w:val="18"/>
                <w:szCs w:val="18"/>
              </w:rPr>
              <w:t>、</w:t>
            </w:r>
            <w:r>
              <w:rPr>
                <w:rFonts w:hint="eastAsia" w:ascii="方正仿宋_GBK" w:hAnsi="方正仿宋_GBK" w:eastAsia="方正仿宋_GBK" w:cs="方正仿宋_GBK"/>
                <w:bCs/>
                <w:kern w:val="0"/>
                <w:sz w:val="18"/>
                <w:szCs w:val="18"/>
                <w:lang w:bidi="ar"/>
              </w:rPr>
              <w:t>第三十一条、第三十八条</w:t>
            </w:r>
            <w:r>
              <w:rPr>
                <w:rFonts w:hint="eastAsia" w:ascii="方正仿宋_GBK" w:hAnsi="方正仿宋_GBK" w:eastAsia="方正仿宋_GBK" w:cs="方正仿宋_GBK"/>
                <w:bCs/>
                <w:kern w:val="0"/>
                <w:sz w:val="18"/>
                <w:szCs w:val="18"/>
              </w:rPr>
              <w:t>、</w:t>
            </w:r>
            <w:r>
              <w:rPr>
                <w:rFonts w:hint="eastAsia" w:ascii="方正仿宋_GBK" w:hAnsi="方正仿宋_GBK" w:eastAsia="方正仿宋_GBK" w:cs="方正仿宋_GBK"/>
                <w:bCs/>
                <w:kern w:val="0"/>
                <w:sz w:val="18"/>
                <w:szCs w:val="18"/>
                <w:lang w:bidi="ar"/>
              </w:rPr>
              <w:t>第四十五条；《化妆品生产经营监督管理办法》第三十九条、第四十条；《化妆品注册备案管理办法》第三十五条、第六十一条</w:t>
            </w:r>
            <w:r>
              <w:rPr>
                <w:rFonts w:hint="eastAsia" w:ascii="方正仿宋_GBK" w:hAnsi="方正仿宋_GBK" w:eastAsia="方正仿宋_GBK" w:cs="方正仿宋_GBK"/>
                <w:kern w:val="0"/>
                <w:sz w:val="18"/>
                <w:szCs w:val="18"/>
              </w:rPr>
              <w:t>。</w:t>
            </w:r>
          </w:p>
        </w:tc>
      </w:tr>
      <w:tr w14:paraId="315E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5" w:type="dxa"/>
            <w:vMerge w:val="restart"/>
            <w:vAlign w:val="center"/>
          </w:tcPr>
          <w:p w14:paraId="53821805">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质量安全和风险控制</w:t>
            </w:r>
          </w:p>
        </w:tc>
        <w:tc>
          <w:tcPr>
            <w:tcW w:w="768" w:type="dxa"/>
            <w:vAlign w:val="center"/>
          </w:tcPr>
          <w:p w14:paraId="3323ABC6">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3</w:t>
            </w:r>
          </w:p>
        </w:tc>
        <w:tc>
          <w:tcPr>
            <w:tcW w:w="8509" w:type="dxa"/>
            <w:vAlign w:val="center"/>
          </w:tcPr>
          <w:p w14:paraId="07B65C18">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应当依照法律、法规、强制性国家标准、技术规范从事生产经营活动，加强管理，诚信自律，保证化妆品质量安全。化妆品应当符合强制性国家标准。</w:t>
            </w:r>
          </w:p>
        </w:tc>
        <w:tc>
          <w:tcPr>
            <w:tcW w:w="5526" w:type="dxa"/>
            <w:vAlign w:val="center"/>
          </w:tcPr>
          <w:p w14:paraId="3D337234">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《化妆品监督管理条例》第六条、第二十五条</w:t>
            </w:r>
            <w:r>
              <w:rPr>
                <w:rFonts w:hint="eastAsia" w:ascii="方正仿宋_GBK" w:hAnsi="方正仿宋_GBK" w:eastAsia="方正仿宋_GBK" w:cs="方正仿宋_GBK"/>
                <w:kern w:val="0"/>
                <w:sz w:val="18"/>
                <w:szCs w:val="18"/>
              </w:rPr>
              <w:t>。</w:t>
            </w:r>
          </w:p>
        </w:tc>
      </w:tr>
      <w:tr w14:paraId="2B9E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vMerge w:val="continue"/>
            <w:vAlign w:val="center"/>
          </w:tcPr>
          <w:p w14:paraId="45ADD530">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68" w:type="dxa"/>
            <w:vAlign w:val="center"/>
          </w:tcPr>
          <w:p w14:paraId="29B20481">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4</w:t>
            </w:r>
          </w:p>
        </w:tc>
        <w:tc>
          <w:tcPr>
            <w:tcW w:w="8509" w:type="dxa"/>
            <w:vAlign w:val="center"/>
          </w:tcPr>
          <w:p w14:paraId="7033E9B9">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问题化妆品及时处置。（1）监管部门通告或责令下架的化妆品以及化妆品经营者得知或者发现其经营的化妆品存在质量缺陷或者其他问题，可能危害人体健康的，应当立即停止经营并采取措施整改；（2）化妆品注册人、备案人实施召回的，化妆品经营者应当予以配合。</w:t>
            </w:r>
          </w:p>
        </w:tc>
        <w:tc>
          <w:tcPr>
            <w:tcW w:w="5526" w:type="dxa"/>
            <w:vAlign w:val="center"/>
          </w:tcPr>
          <w:p w14:paraId="698214DE">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《化妆品监督管理条例》第四十四条；《化妆品生产经营监督管理办法》第五十七条</w:t>
            </w:r>
            <w:r>
              <w:rPr>
                <w:rFonts w:hint="eastAsia" w:ascii="方正仿宋_GBK" w:hAnsi="方正仿宋_GBK" w:eastAsia="方正仿宋_GBK" w:cs="方正仿宋_GBK"/>
                <w:kern w:val="0"/>
                <w:sz w:val="18"/>
                <w:szCs w:val="18"/>
              </w:rPr>
              <w:t>。</w:t>
            </w:r>
          </w:p>
        </w:tc>
      </w:tr>
      <w:tr w14:paraId="559E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45" w:type="dxa"/>
            <w:vMerge w:val="continue"/>
            <w:vAlign w:val="center"/>
          </w:tcPr>
          <w:p w14:paraId="45EA4EFD">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68" w:type="dxa"/>
            <w:vAlign w:val="center"/>
          </w:tcPr>
          <w:p w14:paraId="410A5B14">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5</w:t>
            </w:r>
          </w:p>
        </w:tc>
        <w:tc>
          <w:tcPr>
            <w:tcW w:w="8509" w:type="dxa"/>
            <w:vAlign w:val="center"/>
          </w:tcPr>
          <w:p w14:paraId="544D4922">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抽检不合格产品及时处置。</w:t>
            </w:r>
          </w:p>
          <w:p w14:paraId="783A6CFB">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（1）对抽检不合格产品应停止经营、使用，并按规定开展自查整改；</w:t>
            </w:r>
          </w:p>
          <w:p w14:paraId="486D9B0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（2）对检验结论有异议的，依法提出复检申请。</w:t>
            </w:r>
          </w:p>
        </w:tc>
        <w:tc>
          <w:tcPr>
            <w:tcW w:w="5526" w:type="dxa"/>
            <w:vAlign w:val="center"/>
          </w:tcPr>
          <w:p w14:paraId="5DC5A1BE">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《化妆品监督管理条例》第四十六条、第五十一条；《化妆品生产经营监督管理办法》第五十三条</w:t>
            </w:r>
            <w:r>
              <w:rPr>
                <w:rFonts w:hint="eastAsia" w:ascii="方正仿宋_GBK" w:hAnsi="方正仿宋_GBK" w:eastAsia="方正仿宋_GBK" w:cs="方正仿宋_GBK"/>
                <w:kern w:val="0"/>
                <w:sz w:val="18"/>
                <w:szCs w:val="18"/>
              </w:rPr>
              <w:t>。</w:t>
            </w:r>
          </w:p>
        </w:tc>
      </w:tr>
      <w:tr w14:paraId="56CA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45" w:type="dxa"/>
            <w:vAlign w:val="center"/>
          </w:tcPr>
          <w:p w14:paraId="10251394">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标签管理</w:t>
            </w:r>
          </w:p>
        </w:tc>
        <w:tc>
          <w:tcPr>
            <w:tcW w:w="768" w:type="dxa"/>
            <w:vAlign w:val="center"/>
          </w:tcPr>
          <w:p w14:paraId="490D9DE0">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6</w:t>
            </w:r>
          </w:p>
        </w:tc>
        <w:tc>
          <w:tcPr>
            <w:tcW w:w="8509" w:type="dxa"/>
            <w:vAlign w:val="center"/>
          </w:tcPr>
          <w:p w14:paraId="7EAC6027">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依法查验标签，标签应当合法合规。</w:t>
            </w:r>
          </w:p>
          <w:p w14:paraId="4198BC6E">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（1）化妆品应有中文标签，内容真实、完整、准确。</w:t>
            </w:r>
          </w:p>
          <w:p w14:paraId="2349828F">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（2）最小销售单元应当有标签。</w:t>
            </w:r>
          </w:p>
          <w:p w14:paraId="4FC17A39">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3）标签应当应当至少包括以下内容:产品中文名称、特殊化妆品注册证书编号；注册人、备案人的名称、地址，注册人或者备案人为境外企业的，应当同时标注境内责任人的名称、地址；生产企业的名称、地址，国产化妆品应当同时标注生产企业生产许可证编号；产品执行的标准编号；全成分；净含量；使用期限；使用方法；必要的安全警示用语；法律、行政法规和强制性国家标准规定应当标注的其他内容。</w:t>
            </w:r>
          </w:p>
          <w:p w14:paraId="14C7496D">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（4）标签禁止标注下列内容：明示或者暗示具有医疗作用的内容；虚假或者引人误解的内容；违反社会公序良俗的内容；法律、行政法规禁止标注的其他内容。</w:t>
            </w:r>
          </w:p>
          <w:p w14:paraId="73BCBB58">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（5）以免费试用、赠予、兑换等形式向消费者提供的化妆品，其标签也必须符合要求；</w:t>
            </w:r>
          </w:p>
          <w:p w14:paraId="5E0FF533">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6）化妆品净含量不大于15g或者15mL的小规格包装产品，仅需在销售包装可视面标注产品中文名称、特殊化妆品注册证书编号、注册人或者备案人的名称、净含量、使用期限等信息，其他应当标注的信息可以标注在随附于产品的说明书中。具有包装盒的小规格包装产品，还应当同时在直接接触内容物的包装容器上标注产品中文名称和使用期限。</w:t>
            </w:r>
          </w:p>
          <w:p w14:paraId="7E4CDE95">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（7）</w:t>
            </w:r>
            <w:r>
              <w:rPr>
                <w:rFonts w:hint="eastAsia" w:ascii="方正仿宋_GBK" w:hAnsi="方正仿宋_GBK" w:eastAsia="方正仿宋_GBK" w:cs="方正仿宋_GBK"/>
                <w:bCs/>
                <w:kern w:val="0"/>
                <w:sz w:val="18"/>
                <w:szCs w:val="18"/>
              </w:rPr>
              <w:t>儿童化妆品应按照要求在销售包装主要展示版面左上方标注儿童化妆品标志（即“小金盾”标志）。</w:t>
            </w:r>
          </w:p>
          <w:p w14:paraId="377519BF">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（8）进口化妆品（含参照进口化妆品管理）可以直接使用中文标签，也可以加贴中文标签；加贴中文标签的，中文标签内容应当与原标签内容一致。</w:t>
            </w:r>
          </w:p>
        </w:tc>
        <w:tc>
          <w:tcPr>
            <w:tcW w:w="5526" w:type="dxa"/>
            <w:vAlign w:val="center"/>
          </w:tcPr>
          <w:p w14:paraId="70BA9413">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监督管理条例》第三十五条、第三十六条、第三十七条；《化妆品生产经营监督管理办法》第三十五条、第三十六条、第四十九条；《儿童化妆品监督管理规定》第六条；《化妆品标签管理办法》第五条、第六条、</w:t>
            </w:r>
            <w:r>
              <w:rPr>
                <w:rFonts w:hint="eastAsia" w:ascii="方正仿宋_GBK" w:hAnsi="方正仿宋_GBK" w:eastAsia="方正仿宋_GBK" w:cs="方正仿宋_GBK"/>
                <w:bCs/>
                <w:kern w:val="0"/>
                <w:sz w:val="18"/>
                <w:szCs w:val="18"/>
              </w:rPr>
              <w:t>第七条第十七条</w:t>
            </w:r>
            <w:r>
              <w:rPr>
                <w:rFonts w:hint="eastAsia" w:ascii="方正仿宋_GBK" w:hAnsi="方正仿宋_GBK" w:eastAsia="方正仿宋_GBK" w:cs="方正仿宋_GBK"/>
                <w:kern w:val="0"/>
                <w:sz w:val="18"/>
                <w:szCs w:val="18"/>
              </w:rPr>
              <w:t>。</w:t>
            </w:r>
          </w:p>
        </w:tc>
      </w:tr>
      <w:tr w14:paraId="48DC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45" w:type="dxa"/>
            <w:vAlign w:val="center"/>
          </w:tcPr>
          <w:p w14:paraId="54250E4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贮存运输</w:t>
            </w:r>
          </w:p>
        </w:tc>
        <w:tc>
          <w:tcPr>
            <w:tcW w:w="768" w:type="dxa"/>
            <w:vAlign w:val="center"/>
          </w:tcPr>
          <w:p w14:paraId="13D9C59B">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7</w:t>
            </w:r>
          </w:p>
        </w:tc>
        <w:tc>
          <w:tcPr>
            <w:tcW w:w="8509" w:type="dxa"/>
            <w:vAlign w:val="center"/>
          </w:tcPr>
          <w:p w14:paraId="71D6A90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应当依照有关法律、法规的规定和化妆品标签标示的要求贮存、运输化妆品，定期检查并及时处理变质或者超过使用期限的化妆品。</w:t>
            </w:r>
          </w:p>
        </w:tc>
        <w:tc>
          <w:tcPr>
            <w:tcW w:w="5526" w:type="dxa"/>
            <w:vAlign w:val="center"/>
          </w:tcPr>
          <w:p w14:paraId="506A6C4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《化妆品监督管理条例》第三十九条</w:t>
            </w:r>
            <w:r>
              <w:rPr>
                <w:rFonts w:hint="eastAsia" w:ascii="方正仿宋_GBK" w:hAnsi="方正仿宋_GBK" w:eastAsia="方正仿宋_GBK" w:cs="方正仿宋_GBK"/>
                <w:kern w:val="0"/>
                <w:sz w:val="18"/>
                <w:szCs w:val="18"/>
              </w:rPr>
              <w:t>。</w:t>
            </w:r>
          </w:p>
        </w:tc>
      </w:tr>
      <w:tr w14:paraId="11B8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45" w:type="dxa"/>
            <w:vAlign w:val="center"/>
          </w:tcPr>
          <w:p w14:paraId="085059F8">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广告宣传</w:t>
            </w:r>
          </w:p>
        </w:tc>
        <w:tc>
          <w:tcPr>
            <w:tcW w:w="768" w:type="dxa"/>
            <w:vAlign w:val="center"/>
          </w:tcPr>
          <w:p w14:paraId="7BC2B426">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8</w:t>
            </w:r>
          </w:p>
        </w:tc>
        <w:tc>
          <w:tcPr>
            <w:tcW w:w="8509" w:type="dxa"/>
            <w:vAlign w:val="center"/>
          </w:tcPr>
          <w:p w14:paraId="3EEBC89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化妆品广告真实、合法。</w:t>
            </w:r>
            <w:r>
              <w:rPr>
                <w:rFonts w:hint="eastAsia" w:ascii="方正仿宋_GBK" w:hAnsi="方正仿宋_GBK" w:eastAsia="方正仿宋_GBK" w:cs="方正仿宋_GBK"/>
                <w:bCs/>
                <w:kern w:val="0"/>
                <w:sz w:val="18"/>
                <w:szCs w:val="18"/>
              </w:rPr>
              <w:t>化妆品广告不得明示或者暗示产品具有医疗作用，不得含有虚假或者引人误解的内容，不得欺骗、误导消费者。普通化妆品不得宣称特殊化妆品相关功效</w:t>
            </w:r>
            <w:r>
              <w:rPr>
                <w:rFonts w:hint="eastAsia" w:ascii="方正仿宋_GBK" w:hAnsi="方正仿宋_GBK" w:eastAsia="方正仿宋_GBK" w:cs="方正仿宋_GBK"/>
                <w:bCs/>
                <w:kern w:val="0"/>
                <w:sz w:val="18"/>
                <w:szCs w:val="18"/>
                <w:lang w:bidi="ar"/>
              </w:rPr>
              <w:t>。</w:t>
            </w:r>
          </w:p>
        </w:tc>
        <w:tc>
          <w:tcPr>
            <w:tcW w:w="5526" w:type="dxa"/>
            <w:vAlign w:val="center"/>
          </w:tcPr>
          <w:p w14:paraId="678CB2D8">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《化妆品监督管理条例》第四十三条；《化妆品生产经营监督管理办法》第三十八条</w:t>
            </w:r>
            <w:r>
              <w:rPr>
                <w:rFonts w:hint="eastAsia" w:ascii="方正仿宋_GBK" w:hAnsi="方正仿宋_GBK" w:eastAsia="方正仿宋_GBK" w:cs="方正仿宋_GBK"/>
                <w:kern w:val="0"/>
                <w:sz w:val="18"/>
                <w:szCs w:val="18"/>
              </w:rPr>
              <w:t>。</w:t>
            </w:r>
          </w:p>
        </w:tc>
      </w:tr>
      <w:tr w14:paraId="37CB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45" w:type="dxa"/>
            <w:vAlign w:val="center"/>
          </w:tcPr>
          <w:p w14:paraId="030BBE5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不良反应</w:t>
            </w:r>
          </w:p>
        </w:tc>
        <w:tc>
          <w:tcPr>
            <w:tcW w:w="768" w:type="dxa"/>
            <w:vAlign w:val="center"/>
          </w:tcPr>
          <w:p w14:paraId="3F5DC62C">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9</w:t>
            </w:r>
          </w:p>
        </w:tc>
        <w:tc>
          <w:tcPr>
            <w:tcW w:w="8509" w:type="dxa"/>
            <w:vAlign w:val="center"/>
          </w:tcPr>
          <w:p w14:paraId="5F817E3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化妆品不良反应报告遵循可疑即报的原则。发现可能与使用化妆品有关的不良反应的，应当报告化妆品不良反应监测机构。应当配合化妆品不良反应监测机构、负责药品监督管理的部门开展化妆品不良反应调查。</w:t>
            </w:r>
            <w:r>
              <w:rPr>
                <w:rFonts w:hint="eastAsia" w:ascii="方正仿宋_GBK" w:hAnsi="方正仿宋_GBK" w:eastAsia="方正仿宋_GBK" w:cs="方正仿宋_GBK"/>
                <w:bCs/>
                <w:kern w:val="0"/>
                <w:sz w:val="18"/>
                <w:szCs w:val="18"/>
                <w:lang w:bidi="ar"/>
              </w:rPr>
              <w:t>依法开展不良反应报告收集和安全隐患产品处置。</w:t>
            </w:r>
          </w:p>
        </w:tc>
        <w:tc>
          <w:tcPr>
            <w:tcW w:w="5526" w:type="dxa"/>
            <w:vAlign w:val="center"/>
          </w:tcPr>
          <w:p w14:paraId="45AB15E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《化妆品监督管理条例》第五十二条；《化妆品生产经营监督管理办法》第五十五条；《化妆品不良反应监测管理办法》第四条、第十四条、第十八条</w:t>
            </w:r>
            <w:r>
              <w:rPr>
                <w:rFonts w:hint="eastAsia" w:ascii="方正仿宋_GBK" w:hAnsi="方正仿宋_GBK" w:eastAsia="方正仿宋_GBK" w:cs="方正仿宋_GBK"/>
                <w:kern w:val="0"/>
                <w:sz w:val="18"/>
                <w:szCs w:val="18"/>
              </w:rPr>
              <w:t>。</w:t>
            </w:r>
          </w:p>
        </w:tc>
      </w:tr>
      <w:tr w14:paraId="3793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vMerge w:val="restart"/>
            <w:vAlign w:val="center"/>
          </w:tcPr>
          <w:p w14:paraId="3B257C4D">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行业禁止</w:t>
            </w:r>
          </w:p>
        </w:tc>
        <w:tc>
          <w:tcPr>
            <w:tcW w:w="768" w:type="dxa"/>
            <w:vAlign w:val="center"/>
          </w:tcPr>
          <w:p w14:paraId="1DCE03C2">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10</w:t>
            </w:r>
          </w:p>
        </w:tc>
        <w:tc>
          <w:tcPr>
            <w:tcW w:w="8509" w:type="dxa"/>
            <w:vAlign w:val="center"/>
          </w:tcPr>
          <w:p w14:paraId="1E631DB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禁止自行配制化妆品。</w:t>
            </w:r>
          </w:p>
        </w:tc>
        <w:tc>
          <w:tcPr>
            <w:tcW w:w="5526" w:type="dxa"/>
            <w:vAlign w:val="center"/>
          </w:tcPr>
          <w:p w14:paraId="154FE8D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《化妆品监督管理条例》第三十八条；《化妆品生产经营监督管理办法》第六十三条</w:t>
            </w:r>
            <w:r>
              <w:rPr>
                <w:rFonts w:hint="eastAsia" w:ascii="方正仿宋_GBK" w:hAnsi="方正仿宋_GBK" w:eastAsia="方正仿宋_GBK" w:cs="方正仿宋_GBK"/>
                <w:kern w:val="0"/>
                <w:sz w:val="18"/>
                <w:szCs w:val="18"/>
              </w:rPr>
              <w:t>。</w:t>
            </w:r>
          </w:p>
        </w:tc>
      </w:tr>
      <w:tr w14:paraId="027C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45" w:type="dxa"/>
            <w:vMerge w:val="continue"/>
            <w:vAlign w:val="center"/>
          </w:tcPr>
          <w:p w14:paraId="45382933">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68" w:type="dxa"/>
            <w:vAlign w:val="center"/>
          </w:tcPr>
          <w:p w14:paraId="3274893A">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11</w:t>
            </w:r>
          </w:p>
        </w:tc>
        <w:tc>
          <w:tcPr>
            <w:tcW w:w="8509" w:type="dxa"/>
            <w:vAlign w:val="center"/>
          </w:tcPr>
          <w:p w14:paraId="345E0217">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禁止经营变质、超过使用期限的化妆品。</w:t>
            </w:r>
          </w:p>
        </w:tc>
        <w:tc>
          <w:tcPr>
            <w:tcW w:w="5526" w:type="dxa"/>
            <w:vAlign w:val="center"/>
          </w:tcPr>
          <w:p w14:paraId="2E310DC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《化妆品监督管理条例》第三十九条、第六十条</w:t>
            </w:r>
            <w:r>
              <w:rPr>
                <w:rFonts w:hint="eastAsia" w:ascii="方正仿宋_GBK" w:hAnsi="方正仿宋_GBK" w:eastAsia="方正仿宋_GBK" w:cs="方正仿宋_GBK"/>
                <w:kern w:val="0"/>
                <w:sz w:val="18"/>
                <w:szCs w:val="18"/>
              </w:rPr>
              <w:t>。</w:t>
            </w:r>
          </w:p>
        </w:tc>
      </w:tr>
      <w:tr w14:paraId="4ACC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45" w:type="dxa"/>
            <w:vMerge w:val="continue"/>
            <w:vAlign w:val="center"/>
          </w:tcPr>
          <w:p w14:paraId="53E85952">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68" w:type="dxa"/>
            <w:vAlign w:val="center"/>
          </w:tcPr>
          <w:p w14:paraId="77FC977D">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12</w:t>
            </w:r>
          </w:p>
        </w:tc>
        <w:tc>
          <w:tcPr>
            <w:tcW w:w="8509" w:type="dxa"/>
            <w:vAlign w:val="center"/>
          </w:tcPr>
          <w:p w14:paraId="2ED967F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禁止更改化妆品使用期限。</w:t>
            </w:r>
          </w:p>
        </w:tc>
        <w:tc>
          <w:tcPr>
            <w:tcW w:w="5526" w:type="dxa"/>
            <w:vAlign w:val="center"/>
          </w:tcPr>
          <w:p w14:paraId="1A79FB9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《化妆品监督管理条例》第六十条</w:t>
            </w:r>
            <w:r>
              <w:rPr>
                <w:rFonts w:hint="eastAsia" w:ascii="方正仿宋_GBK" w:hAnsi="方正仿宋_GBK" w:eastAsia="方正仿宋_GBK" w:cs="方正仿宋_GBK"/>
                <w:kern w:val="0"/>
                <w:sz w:val="18"/>
                <w:szCs w:val="18"/>
              </w:rPr>
              <w:t>。</w:t>
            </w:r>
          </w:p>
        </w:tc>
      </w:tr>
      <w:tr w14:paraId="2990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45" w:type="dxa"/>
            <w:vMerge w:val="continue"/>
            <w:vAlign w:val="center"/>
          </w:tcPr>
          <w:p w14:paraId="2BC26A4A">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68" w:type="dxa"/>
            <w:vAlign w:val="center"/>
          </w:tcPr>
          <w:p w14:paraId="4EA83B02">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13</w:t>
            </w:r>
          </w:p>
        </w:tc>
        <w:tc>
          <w:tcPr>
            <w:tcW w:w="8509" w:type="dxa"/>
            <w:vAlign w:val="center"/>
          </w:tcPr>
          <w:p w14:paraId="28C53E9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有法律法规规定禁止从业的人员，不得从事化妆品经营活动。</w:t>
            </w:r>
          </w:p>
        </w:tc>
        <w:tc>
          <w:tcPr>
            <w:tcW w:w="5526" w:type="dxa"/>
            <w:vAlign w:val="center"/>
          </w:tcPr>
          <w:p w14:paraId="4A7C594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《化妆品监督管理条例》第七十三条</w:t>
            </w:r>
            <w:r>
              <w:rPr>
                <w:rFonts w:hint="eastAsia" w:ascii="方正仿宋_GBK" w:hAnsi="方正仿宋_GBK" w:eastAsia="方正仿宋_GBK" w:cs="方正仿宋_GBK"/>
                <w:kern w:val="0"/>
                <w:sz w:val="18"/>
                <w:szCs w:val="18"/>
              </w:rPr>
              <w:t>。</w:t>
            </w:r>
          </w:p>
        </w:tc>
      </w:tr>
      <w:tr w14:paraId="20CA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45" w:type="dxa"/>
            <w:vMerge w:val="restart"/>
            <w:vAlign w:val="center"/>
          </w:tcPr>
          <w:p w14:paraId="50DE88CC">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其他事项</w:t>
            </w:r>
          </w:p>
        </w:tc>
        <w:tc>
          <w:tcPr>
            <w:tcW w:w="768" w:type="dxa"/>
            <w:vAlign w:val="center"/>
          </w:tcPr>
          <w:p w14:paraId="645F9F06">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14</w:t>
            </w:r>
          </w:p>
        </w:tc>
        <w:tc>
          <w:tcPr>
            <w:tcW w:w="8509" w:type="dxa"/>
            <w:vAlign w:val="center"/>
          </w:tcPr>
          <w:p w14:paraId="712FE49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依法配合监督检查。</w:t>
            </w:r>
          </w:p>
        </w:tc>
        <w:tc>
          <w:tcPr>
            <w:tcW w:w="5526" w:type="dxa"/>
            <w:vAlign w:val="center"/>
          </w:tcPr>
          <w:p w14:paraId="29B3B99D">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《化妆品监督管理条例》第四十七条、第七十四条</w:t>
            </w:r>
            <w:r>
              <w:rPr>
                <w:rFonts w:hint="eastAsia" w:ascii="方正仿宋_GBK" w:hAnsi="方正仿宋_GBK" w:eastAsia="方正仿宋_GBK" w:cs="方正仿宋_GBK"/>
                <w:kern w:val="0"/>
                <w:sz w:val="18"/>
                <w:szCs w:val="18"/>
              </w:rPr>
              <w:t>。</w:t>
            </w:r>
          </w:p>
        </w:tc>
      </w:tr>
      <w:tr w14:paraId="4594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45" w:type="dxa"/>
            <w:vMerge w:val="continue"/>
            <w:vAlign w:val="center"/>
          </w:tcPr>
          <w:p w14:paraId="4FCAB495">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68" w:type="dxa"/>
            <w:vAlign w:val="center"/>
          </w:tcPr>
          <w:p w14:paraId="7AA93823">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15</w:t>
            </w:r>
          </w:p>
        </w:tc>
        <w:tc>
          <w:tcPr>
            <w:tcW w:w="8509" w:type="dxa"/>
            <w:vAlign w:val="center"/>
          </w:tcPr>
          <w:p w14:paraId="02E39944">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依法保护消费者合法权益。</w:t>
            </w:r>
          </w:p>
        </w:tc>
        <w:tc>
          <w:tcPr>
            <w:tcW w:w="5526" w:type="dxa"/>
            <w:vAlign w:val="center"/>
          </w:tcPr>
          <w:p w14:paraId="34790532">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《化妆品监督管理条例》第八条、第七十六条</w:t>
            </w:r>
            <w:r>
              <w:rPr>
                <w:rFonts w:hint="eastAsia" w:ascii="方正仿宋_GBK" w:hAnsi="方正仿宋_GBK" w:eastAsia="方正仿宋_GBK" w:cs="方正仿宋_GBK"/>
                <w:kern w:val="0"/>
                <w:sz w:val="18"/>
                <w:szCs w:val="18"/>
              </w:rPr>
              <w:t>。</w:t>
            </w:r>
          </w:p>
        </w:tc>
      </w:tr>
      <w:tr w14:paraId="703C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45" w:type="dxa"/>
            <w:vMerge w:val="restart"/>
            <w:vAlign w:val="center"/>
          </w:tcPr>
          <w:p w14:paraId="656D4D28">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鼓励内容</w:t>
            </w:r>
          </w:p>
        </w:tc>
        <w:tc>
          <w:tcPr>
            <w:tcW w:w="768" w:type="dxa"/>
            <w:vAlign w:val="center"/>
          </w:tcPr>
          <w:p w14:paraId="03C0B031">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16</w:t>
            </w:r>
          </w:p>
        </w:tc>
        <w:tc>
          <w:tcPr>
            <w:tcW w:w="8509" w:type="dxa"/>
            <w:vAlign w:val="center"/>
          </w:tcPr>
          <w:p w14:paraId="2FB414B3">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鼓励化妆品经营者采用信息化手段采集、保存经营信息，建立产品销售记录等有效措施确保产品可追溯。</w:t>
            </w:r>
          </w:p>
        </w:tc>
        <w:tc>
          <w:tcPr>
            <w:tcW w:w="5526" w:type="dxa"/>
            <w:vAlign w:val="center"/>
          </w:tcPr>
          <w:p w14:paraId="2448CD7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《化妆品监督管理条例》第九条；《化妆品生产经营监督管理办法》第六条</w:t>
            </w:r>
            <w:r>
              <w:rPr>
                <w:rFonts w:hint="eastAsia" w:ascii="方正仿宋_GBK" w:hAnsi="方正仿宋_GBK" w:eastAsia="方正仿宋_GBK" w:cs="方正仿宋_GBK"/>
                <w:kern w:val="0"/>
                <w:sz w:val="18"/>
                <w:szCs w:val="18"/>
              </w:rPr>
              <w:t>。</w:t>
            </w:r>
          </w:p>
        </w:tc>
      </w:tr>
      <w:tr w14:paraId="274B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5" w:type="dxa"/>
            <w:vMerge w:val="continue"/>
            <w:vAlign w:val="center"/>
          </w:tcPr>
          <w:p w14:paraId="4A5A77F9">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68" w:type="dxa"/>
            <w:vAlign w:val="center"/>
          </w:tcPr>
          <w:p w14:paraId="7ED6E458">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17</w:t>
            </w:r>
          </w:p>
        </w:tc>
        <w:tc>
          <w:tcPr>
            <w:tcW w:w="8509" w:type="dxa"/>
            <w:vAlign w:val="center"/>
          </w:tcPr>
          <w:p w14:paraId="619353B9">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鼓励化妆品经营者分区陈列儿童化妆品，在销售区域公示儿童化妆品标志。</w:t>
            </w:r>
          </w:p>
        </w:tc>
        <w:tc>
          <w:tcPr>
            <w:tcW w:w="5526" w:type="dxa"/>
            <w:vAlign w:val="center"/>
          </w:tcPr>
          <w:p w14:paraId="1FFB451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《儿童化妆品监督管理规定》第十四条</w:t>
            </w:r>
            <w:r>
              <w:rPr>
                <w:rFonts w:hint="eastAsia" w:ascii="方正仿宋_GBK" w:hAnsi="方正仿宋_GBK" w:eastAsia="方正仿宋_GBK" w:cs="方正仿宋_GBK"/>
                <w:kern w:val="0"/>
                <w:sz w:val="18"/>
                <w:szCs w:val="18"/>
              </w:rPr>
              <w:t>。</w:t>
            </w:r>
          </w:p>
        </w:tc>
      </w:tr>
    </w:tbl>
    <w:p w14:paraId="0DF50503">
      <w:pPr>
        <w:keepNext w:val="0"/>
        <w:keepLines w:val="0"/>
        <w:pageBreakBefore w:val="0"/>
        <w:widowControl w:val="0"/>
        <w:kinsoku/>
        <w:wordWrap/>
        <w:overflowPunct/>
        <w:topLinePunct w:val="0"/>
        <w:autoSpaceDE/>
        <w:autoSpaceDN/>
        <w:bidi w:val="0"/>
        <w:adjustRightInd/>
        <w:snapToGrid/>
        <w:spacing w:line="100" w:lineRule="exact"/>
        <w:ind w:left="0" w:leftChars="0" w:right="0" w:rightChars="0" w:firstLine="0" w:firstLineChars="0"/>
        <w:jc w:val="both"/>
        <w:textAlignment w:val="auto"/>
        <w:outlineLvl w:val="9"/>
        <w:rPr>
          <w:rFonts w:ascii="Times New Roman" w:hAnsi="Times New Roman"/>
        </w:rPr>
      </w:pPr>
    </w:p>
    <w:tbl>
      <w:tblPr>
        <w:tblStyle w:val="9"/>
        <w:tblW w:w="15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55"/>
        <w:gridCol w:w="8522"/>
        <w:gridCol w:w="5539"/>
      </w:tblGrid>
      <w:tr w14:paraId="0A47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jc w:val="center"/>
        </w:trPr>
        <w:tc>
          <w:tcPr>
            <w:tcW w:w="755" w:type="dxa"/>
            <w:vAlign w:val="center"/>
          </w:tcPr>
          <w:p w14:paraId="4D2E0E6B">
            <w:pPr>
              <w:widowControl/>
              <w:spacing w:line="360" w:lineRule="exact"/>
              <w:jc w:val="center"/>
              <w:rPr>
                <w:rFonts w:eastAsia="方正黑体_GBK" w:cs="宋体"/>
                <w:kern w:val="0"/>
                <w:sz w:val="18"/>
                <w:szCs w:val="18"/>
              </w:rPr>
            </w:pPr>
            <w:r>
              <w:rPr>
                <w:rFonts w:hint="eastAsia" w:eastAsia="方正黑体_GBK" w:cs="宋体"/>
                <w:kern w:val="0"/>
                <w:sz w:val="18"/>
                <w:szCs w:val="18"/>
              </w:rPr>
              <w:t>表19</w:t>
            </w:r>
          </w:p>
        </w:tc>
        <w:tc>
          <w:tcPr>
            <w:tcW w:w="14816" w:type="dxa"/>
            <w:gridSpan w:val="3"/>
            <w:vAlign w:val="center"/>
          </w:tcPr>
          <w:p w14:paraId="412D3DFE">
            <w:pPr>
              <w:widowControl/>
              <w:spacing w:line="360" w:lineRule="exact"/>
              <w:jc w:val="center"/>
              <w:rPr>
                <w:rFonts w:eastAsia="方正黑体_GBK" w:cs="宋体"/>
                <w:bCs/>
                <w:kern w:val="0"/>
                <w:sz w:val="18"/>
                <w:szCs w:val="18"/>
              </w:rPr>
            </w:pPr>
            <w:r>
              <w:rPr>
                <w:rFonts w:hint="eastAsia" w:eastAsia="方正黑体_GBK" w:cs="宋体"/>
                <w:bCs/>
                <w:kern w:val="0"/>
                <w:sz w:val="18"/>
                <w:szCs w:val="18"/>
              </w:rPr>
              <w:t>化妆品电子商务平台经营者主体责任清单</w:t>
            </w:r>
          </w:p>
        </w:tc>
      </w:tr>
      <w:tr w14:paraId="3A63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755" w:type="dxa"/>
            <w:vAlign w:val="center"/>
          </w:tcPr>
          <w:p w14:paraId="308DDB45">
            <w:pPr>
              <w:widowControl/>
              <w:spacing w:line="360" w:lineRule="exact"/>
              <w:jc w:val="center"/>
              <w:rPr>
                <w:rFonts w:eastAsia="方正黑体_GBK" w:cs="宋体"/>
                <w:bCs/>
                <w:kern w:val="0"/>
                <w:sz w:val="18"/>
                <w:szCs w:val="18"/>
              </w:rPr>
            </w:pPr>
            <w:r>
              <w:rPr>
                <w:rFonts w:hint="eastAsia" w:eastAsia="方正黑体_GBK" w:cs="宋体"/>
                <w:bCs/>
                <w:kern w:val="0"/>
                <w:sz w:val="18"/>
                <w:szCs w:val="18"/>
              </w:rPr>
              <w:t>分类</w:t>
            </w:r>
          </w:p>
        </w:tc>
        <w:tc>
          <w:tcPr>
            <w:tcW w:w="755" w:type="dxa"/>
            <w:vAlign w:val="center"/>
          </w:tcPr>
          <w:p w14:paraId="2680ADBE">
            <w:pPr>
              <w:widowControl/>
              <w:spacing w:line="360" w:lineRule="exact"/>
              <w:jc w:val="center"/>
              <w:rPr>
                <w:rFonts w:eastAsia="方正黑体_GBK" w:cs="宋体"/>
                <w:bCs/>
                <w:kern w:val="0"/>
                <w:sz w:val="18"/>
                <w:szCs w:val="18"/>
              </w:rPr>
            </w:pPr>
            <w:r>
              <w:rPr>
                <w:rFonts w:hint="eastAsia" w:eastAsia="方正黑体_GBK" w:cs="宋体"/>
                <w:bCs/>
                <w:kern w:val="0"/>
                <w:sz w:val="18"/>
                <w:szCs w:val="18"/>
              </w:rPr>
              <w:t>序号</w:t>
            </w:r>
          </w:p>
        </w:tc>
        <w:tc>
          <w:tcPr>
            <w:tcW w:w="8522" w:type="dxa"/>
            <w:vAlign w:val="center"/>
          </w:tcPr>
          <w:p w14:paraId="0C883E51">
            <w:pPr>
              <w:widowControl/>
              <w:spacing w:line="360" w:lineRule="exact"/>
              <w:jc w:val="center"/>
              <w:rPr>
                <w:rFonts w:eastAsia="方正黑体_GBK" w:cs="宋体"/>
                <w:bCs/>
                <w:kern w:val="0"/>
                <w:sz w:val="18"/>
                <w:szCs w:val="18"/>
              </w:rPr>
            </w:pPr>
            <w:r>
              <w:rPr>
                <w:rFonts w:hint="eastAsia" w:eastAsia="方正黑体_GBK" w:cs="宋体"/>
                <w:bCs/>
                <w:kern w:val="0"/>
                <w:sz w:val="18"/>
                <w:szCs w:val="18"/>
              </w:rPr>
              <w:t>主体责任</w:t>
            </w:r>
          </w:p>
        </w:tc>
        <w:tc>
          <w:tcPr>
            <w:tcW w:w="5539" w:type="dxa"/>
            <w:vAlign w:val="center"/>
          </w:tcPr>
          <w:p w14:paraId="02519950">
            <w:pPr>
              <w:widowControl/>
              <w:spacing w:line="360" w:lineRule="exact"/>
              <w:jc w:val="center"/>
              <w:rPr>
                <w:rFonts w:eastAsia="方正黑体_GBK" w:cs="宋体"/>
                <w:bCs/>
                <w:kern w:val="0"/>
                <w:sz w:val="18"/>
                <w:szCs w:val="18"/>
              </w:rPr>
            </w:pPr>
            <w:r>
              <w:rPr>
                <w:rFonts w:hint="eastAsia" w:eastAsia="方正黑体_GBK" w:cs="宋体"/>
                <w:bCs/>
                <w:kern w:val="0"/>
                <w:sz w:val="18"/>
                <w:szCs w:val="18"/>
              </w:rPr>
              <w:t>责任依据</w:t>
            </w:r>
          </w:p>
        </w:tc>
      </w:tr>
      <w:tr w14:paraId="6ACA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55" w:type="dxa"/>
            <w:vAlign w:val="center"/>
          </w:tcPr>
          <w:p w14:paraId="58F78E8F">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主体资格</w:t>
            </w:r>
          </w:p>
        </w:tc>
        <w:tc>
          <w:tcPr>
            <w:tcW w:w="755" w:type="dxa"/>
            <w:vAlign w:val="center"/>
          </w:tcPr>
          <w:p w14:paraId="28FE5215">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1</w:t>
            </w:r>
          </w:p>
        </w:tc>
        <w:tc>
          <w:tcPr>
            <w:tcW w:w="8522" w:type="dxa"/>
            <w:vAlign w:val="center"/>
          </w:tcPr>
          <w:p w14:paraId="2266A75E">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应当依法办理市场主体登记。依法需要取得相关行政许可的，应当依法取得行政许可。应当在其首页显著位置，持续公示营业执照信息、与其经营业务有关的行政许可信息。</w:t>
            </w:r>
          </w:p>
        </w:tc>
        <w:tc>
          <w:tcPr>
            <w:tcW w:w="5539" w:type="dxa"/>
            <w:vAlign w:val="center"/>
          </w:tcPr>
          <w:p w14:paraId="2D809386">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《中华人民共和国市场主体登记管理条例》；《电子商务法》第十二条、第十五条</w:t>
            </w:r>
            <w:r>
              <w:rPr>
                <w:rFonts w:hint="eastAsia" w:ascii="方正仿宋_GBK" w:hAnsi="方正仿宋_GBK" w:eastAsia="方正仿宋_GBK" w:cs="方正仿宋_GBK"/>
                <w:kern w:val="0"/>
                <w:sz w:val="18"/>
                <w:szCs w:val="18"/>
              </w:rPr>
              <w:t>。</w:t>
            </w:r>
          </w:p>
        </w:tc>
      </w:tr>
      <w:tr w14:paraId="400C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755" w:type="dxa"/>
            <w:vMerge w:val="restart"/>
            <w:vAlign w:val="center"/>
          </w:tcPr>
          <w:p w14:paraId="59EC430B">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平台内经营者入驻及核验管理</w:t>
            </w:r>
          </w:p>
        </w:tc>
        <w:tc>
          <w:tcPr>
            <w:tcW w:w="755" w:type="dxa"/>
            <w:vAlign w:val="center"/>
          </w:tcPr>
          <w:p w14:paraId="1CB7F82E">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2</w:t>
            </w:r>
          </w:p>
        </w:tc>
        <w:tc>
          <w:tcPr>
            <w:tcW w:w="8522" w:type="dxa"/>
            <w:vAlign w:val="center"/>
          </w:tcPr>
          <w:p w14:paraId="55724E64">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应当承担平台内化妆品经营者管理责任，发现平台内化妆品经营者有违反本条例规定行为的，应当及时制止并报告电子商务平台经营者所在地省、自治区、直辖市人民政府药品监督</w:t>
            </w:r>
            <w:r>
              <w:rPr>
                <w:rFonts w:hint="eastAsia" w:ascii="方正仿宋_GBK" w:hAnsi="方正仿宋_GBK" w:eastAsia="方正仿宋_GBK" w:cs="方正仿宋_GBK"/>
                <w:bCs/>
                <w:spacing w:val="-4"/>
                <w:kern w:val="0"/>
                <w:sz w:val="18"/>
                <w:szCs w:val="18"/>
                <w:lang w:bidi="ar"/>
              </w:rPr>
              <w:t>管理部门；发现严重违法行为的，应当立即停止向违法的化妆品经营者提供电子商务平台服务。</w:t>
            </w:r>
          </w:p>
          <w:p w14:paraId="2AA81B51">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应当对申请入驻的平台内化妆品经营者进行实名登记，要求其提交身份、地址、联系方式等真实信息，进行核验、登记，建立登记档案，并至少每6个月核验更新一次。化妆品电子商务平台经营者对平台内化妆品经营者身份信息的保存时间自其退出平台之日起不少于3年。</w:t>
            </w:r>
          </w:p>
        </w:tc>
        <w:tc>
          <w:tcPr>
            <w:tcW w:w="5539" w:type="dxa"/>
            <w:vAlign w:val="center"/>
          </w:tcPr>
          <w:p w14:paraId="6CDA7AAB">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《电子商务法》第二十七条；《化妆品监督管理条例》第四十一条；《化妆品生产经营监督管理办法》第四十五条；《化妆品网络经营监督管理办法》第十条</w:t>
            </w:r>
            <w:r>
              <w:rPr>
                <w:rFonts w:hint="eastAsia" w:ascii="方正仿宋_GBK" w:hAnsi="方正仿宋_GBK" w:eastAsia="方正仿宋_GBK" w:cs="方正仿宋_GBK"/>
                <w:kern w:val="0"/>
                <w:sz w:val="18"/>
                <w:szCs w:val="18"/>
              </w:rPr>
              <w:t>。</w:t>
            </w:r>
          </w:p>
        </w:tc>
      </w:tr>
      <w:tr w14:paraId="68AD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jc w:val="center"/>
        </w:trPr>
        <w:tc>
          <w:tcPr>
            <w:tcW w:w="755" w:type="dxa"/>
            <w:vMerge w:val="continue"/>
            <w:vAlign w:val="center"/>
          </w:tcPr>
          <w:p w14:paraId="4735DEED">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55" w:type="dxa"/>
            <w:vAlign w:val="center"/>
          </w:tcPr>
          <w:p w14:paraId="0E3F8AD3">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3</w:t>
            </w:r>
          </w:p>
        </w:tc>
        <w:tc>
          <w:tcPr>
            <w:tcW w:w="8522" w:type="dxa"/>
            <w:vAlign w:val="center"/>
          </w:tcPr>
          <w:p w14:paraId="2C2CA02A">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应当依照《中华人民共和国电子商务法》有关要求制定平台服务协议和交易规则，其中有关进入和退出平台、商品和服务质量保障、消费者权益保护等内容应当包括平台内化妆品经营者主体资质审核、产品信息发布规则、违法行为处置等方面的要求。</w:t>
            </w:r>
          </w:p>
          <w:p w14:paraId="0BD80BC9">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应当依法承担平台内化妆品经营者管理责任，建立实名登记、日常检查、违法行为制止及报告、投诉举报处理等化妆品质量安全管理制度并有效实施，督促平台内化妆品经营者依法履行化妆品监督管理条例等规定的义务。</w:t>
            </w:r>
          </w:p>
          <w:p w14:paraId="1B11B31A">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发现违法经营化妆品行为的，应当依法或者依据平台服务协议和交易规则采取删除、屏蔽、断开链接等必要措施及时制止，并报告所在地省、自治区、直辖市药品监督管理部门。</w:t>
            </w:r>
          </w:p>
          <w:p w14:paraId="2CCA94CD">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鼓励化妆品电子商务平台经营者开展抽样检验。</w:t>
            </w:r>
          </w:p>
        </w:tc>
        <w:tc>
          <w:tcPr>
            <w:tcW w:w="5539" w:type="dxa"/>
            <w:vAlign w:val="center"/>
          </w:tcPr>
          <w:p w14:paraId="34B2D894">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《化妆品监督管理条例》第四十一条；《化妆品生产经营监督管理办法》第四十六条；《化妆品网络经营监督管理办法》第六条、第八条</w:t>
            </w:r>
            <w:r>
              <w:rPr>
                <w:rFonts w:hint="eastAsia" w:ascii="方正仿宋_GBK" w:hAnsi="方正仿宋_GBK" w:eastAsia="方正仿宋_GBK" w:cs="方正仿宋_GBK"/>
                <w:kern w:val="0"/>
                <w:sz w:val="18"/>
                <w:szCs w:val="18"/>
              </w:rPr>
              <w:t>。</w:t>
            </w:r>
          </w:p>
        </w:tc>
      </w:tr>
      <w:tr w14:paraId="3931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55" w:type="dxa"/>
            <w:vMerge w:val="restart"/>
            <w:vAlign w:val="center"/>
          </w:tcPr>
          <w:p w14:paraId="41921D25">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平台内经营者入驻及核验管理</w:t>
            </w:r>
          </w:p>
        </w:tc>
        <w:tc>
          <w:tcPr>
            <w:tcW w:w="755" w:type="dxa"/>
            <w:vAlign w:val="center"/>
          </w:tcPr>
          <w:p w14:paraId="32092EE8">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4</w:t>
            </w:r>
          </w:p>
        </w:tc>
        <w:tc>
          <w:tcPr>
            <w:tcW w:w="8522" w:type="dxa"/>
            <w:vAlign w:val="center"/>
          </w:tcPr>
          <w:p w14:paraId="0F74171B">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应当设置化妆品质量管理机构或者配备专兼职管理人员，建立平台内化妆品日常检查、违法行为制止及报告、投诉举报处理等化妆品质量安全管理制度并有效实施应当设置化妆品质量安全管理机构，或者配备专兼职质量安全管理人员。化妆品质量安全管理机构或者质量安全管理人员负责建立并实施化妆品质量安全管理制度，并组织开展平台内化妆品经营者的日常检查。</w:t>
            </w:r>
          </w:p>
        </w:tc>
        <w:tc>
          <w:tcPr>
            <w:tcW w:w="5539" w:type="dxa"/>
            <w:vAlign w:val="center"/>
          </w:tcPr>
          <w:p w14:paraId="55B5F1BC">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lang w:bidi="ar"/>
              </w:rPr>
            </w:pPr>
          </w:p>
          <w:p w14:paraId="342F4C4A">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《化妆品生产经营监督管理办法》第四十六条；《化妆品网络经营监督管理办法》第九条</w:t>
            </w:r>
            <w:r>
              <w:rPr>
                <w:rFonts w:hint="eastAsia" w:ascii="方正仿宋_GBK" w:hAnsi="方正仿宋_GBK" w:eastAsia="方正仿宋_GBK" w:cs="方正仿宋_GBK"/>
                <w:kern w:val="0"/>
                <w:sz w:val="18"/>
                <w:szCs w:val="18"/>
              </w:rPr>
              <w:t>。</w:t>
            </w:r>
          </w:p>
        </w:tc>
      </w:tr>
      <w:tr w14:paraId="62DA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jc w:val="center"/>
        </w:trPr>
        <w:tc>
          <w:tcPr>
            <w:tcW w:w="755" w:type="dxa"/>
            <w:vMerge w:val="continue"/>
            <w:vAlign w:val="center"/>
          </w:tcPr>
          <w:p w14:paraId="73C45284">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55" w:type="dxa"/>
            <w:vAlign w:val="center"/>
          </w:tcPr>
          <w:p w14:paraId="577AF8F8">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5</w:t>
            </w:r>
          </w:p>
        </w:tc>
        <w:tc>
          <w:tcPr>
            <w:tcW w:w="8522" w:type="dxa"/>
            <w:vAlign w:val="center"/>
          </w:tcPr>
          <w:p w14:paraId="1BA9BD92">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建立平台内化妆品经营者日常检查制度，日常检查包括入网产品信息发布检查、日常经营行为检查等。</w:t>
            </w:r>
          </w:p>
          <w:p w14:paraId="13A699AE">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日常检查应当制定检查计划，明确检查对象、检查频次、检查内容，并形成检查记录。检查记录应当至少包括检查的平台内化妆品经营者身份信息、检查内容、检查结果、处置措施等信息，记录保存期限不得少于2年。</w:t>
            </w:r>
          </w:p>
          <w:p w14:paraId="7C9F71AA">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应当根据产品风险情况，定期组织对平台内化妆品经营者开展日常经营行为检查，重点检查以下内容：</w:t>
            </w:r>
          </w:p>
          <w:p w14:paraId="5DF6D36C">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（一）检查平台内化妆品经营者经营的化妆品是否存在未经注册或者未备案、冒用他人化妆品注册证编号或者备案编号等情况；</w:t>
            </w:r>
          </w:p>
          <w:p w14:paraId="0E85A05D">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（二）检查平台内化妆品经营者展示的化妆品标签等信息是否与国家药品监督管理局官方网站公布的相应产品信息一致；</w:t>
            </w:r>
          </w:p>
          <w:p w14:paraId="18ABCD6F">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（三）检查平台内化妆品经营者展示的化妆品标签信息是否存在明示或者暗示具有医疗作用、虚假或者引人误解、违反社会公序良俗等法律法规禁止标注的内容。</w:t>
            </w:r>
          </w:p>
        </w:tc>
        <w:tc>
          <w:tcPr>
            <w:tcW w:w="5539" w:type="dxa"/>
            <w:vAlign w:val="center"/>
          </w:tcPr>
          <w:p w14:paraId="2547C0C8">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《化妆品网络经营监督管理办法》第十一条、第十三条</w:t>
            </w:r>
            <w:r>
              <w:rPr>
                <w:rFonts w:hint="eastAsia" w:ascii="方正仿宋_GBK" w:hAnsi="方正仿宋_GBK" w:eastAsia="方正仿宋_GBK" w:cs="方正仿宋_GBK"/>
                <w:kern w:val="0"/>
                <w:sz w:val="18"/>
                <w:szCs w:val="18"/>
              </w:rPr>
              <w:t>。</w:t>
            </w:r>
          </w:p>
        </w:tc>
      </w:tr>
      <w:tr w14:paraId="0992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55" w:type="dxa"/>
            <w:vMerge w:val="continue"/>
            <w:vAlign w:val="center"/>
          </w:tcPr>
          <w:p w14:paraId="31CB30BC">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55" w:type="dxa"/>
            <w:vAlign w:val="center"/>
          </w:tcPr>
          <w:p w14:paraId="0244C7DB">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6</w:t>
            </w:r>
          </w:p>
        </w:tc>
        <w:tc>
          <w:tcPr>
            <w:tcW w:w="8522" w:type="dxa"/>
            <w:vAlign w:val="center"/>
          </w:tcPr>
          <w:p w14:paraId="142D3A78">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应当主动收集省级以上药品监督管理部门发布的关于抽样检验、暂停或者停止经营化妆品等涉及产品质量安全的监管公开信息，并及时开展平台内自查。</w:t>
            </w:r>
          </w:p>
        </w:tc>
        <w:tc>
          <w:tcPr>
            <w:tcW w:w="5539" w:type="dxa"/>
            <w:vAlign w:val="center"/>
          </w:tcPr>
          <w:p w14:paraId="7F1F8CC7">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《化妆品网络经营监督管理办法》第十四条</w:t>
            </w:r>
            <w:r>
              <w:rPr>
                <w:rFonts w:hint="eastAsia" w:ascii="方正仿宋_GBK" w:hAnsi="方正仿宋_GBK" w:eastAsia="方正仿宋_GBK" w:cs="方正仿宋_GBK"/>
                <w:kern w:val="0"/>
                <w:sz w:val="18"/>
                <w:szCs w:val="18"/>
              </w:rPr>
              <w:t>。</w:t>
            </w:r>
          </w:p>
        </w:tc>
      </w:tr>
      <w:tr w14:paraId="6498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55" w:type="dxa"/>
            <w:vMerge w:val="restart"/>
            <w:vAlign w:val="center"/>
          </w:tcPr>
          <w:p w14:paraId="5E1379B8">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平台内经营者入驻及核验管理</w:t>
            </w:r>
          </w:p>
        </w:tc>
        <w:tc>
          <w:tcPr>
            <w:tcW w:w="755" w:type="dxa"/>
            <w:vAlign w:val="center"/>
          </w:tcPr>
          <w:p w14:paraId="54F49686">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7</w:t>
            </w:r>
          </w:p>
        </w:tc>
        <w:tc>
          <w:tcPr>
            <w:tcW w:w="8522" w:type="dxa"/>
            <w:vAlign w:val="center"/>
          </w:tcPr>
          <w:p w14:paraId="48E4F83B">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应当加强对平台内化妆品经营者相关法规知识的宣传培训，宣传培训内容应当包括化妆品相关法律法规、平台内化妆品经营者法律义务和法律责任、平台服务协议和交易规则、化妆品信息发布要求等。</w:t>
            </w:r>
          </w:p>
        </w:tc>
        <w:tc>
          <w:tcPr>
            <w:tcW w:w="5539" w:type="dxa"/>
            <w:vAlign w:val="center"/>
          </w:tcPr>
          <w:p w14:paraId="2283E012">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《化妆品网络经营监督管理办法》第十九条</w:t>
            </w:r>
            <w:r>
              <w:rPr>
                <w:rFonts w:hint="eastAsia" w:ascii="方正仿宋_GBK" w:hAnsi="方正仿宋_GBK" w:eastAsia="方正仿宋_GBK" w:cs="方正仿宋_GBK"/>
                <w:kern w:val="0"/>
                <w:sz w:val="18"/>
                <w:szCs w:val="18"/>
              </w:rPr>
              <w:t>。</w:t>
            </w:r>
          </w:p>
        </w:tc>
      </w:tr>
      <w:tr w14:paraId="138F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755" w:type="dxa"/>
            <w:vMerge w:val="continue"/>
            <w:vAlign w:val="center"/>
          </w:tcPr>
          <w:p w14:paraId="2984E6BF">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55" w:type="dxa"/>
            <w:vAlign w:val="center"/>
          </w:tcPr>
          <w:p w14:paraId="1FDCACBA">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8</w:t>
            </w:r>
          </w:p>
        </w:tc>
        <w:tc>
          <w:tcPr>
            <w:tcW w:w="8522" w:type="dxa"/>
            <w:vAlign w:val="center"/>
          </w:tcPr>
          <w:p w14:paraId="3F70EDBF">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收到化妆品不良反应信息、投诉举报信息的，或获知化妆品不良反应的，应当记录报告者信息、发生不良反应者信息、不良反应信息、所使用的化妆品信息等内容，并于7日内转交平台内化妆品经营者处理。</w:t>
            </w:r>
          </w:p>
          <w:p w14:paraId="4FB9AEF5">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督促平台内化妆品经营者履行化妆品经营者的不良反应报告义务，配合化妆品不良反应监测机构、负责药品监督管理的部门开展化妆品不良反应调查。</w:t>
            </w:r>
          </w:p>
          <w:p w14:paraId="24384206">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涉及产品质量安全的重大信息，化妆品电子商务平台经营者应当自获知上述信息后，将发生不良反应者信息、症状或者体征、不良反应严重程度、不良反应发生日期、所使用化妆品名称、销售所使用化妆品的平台内经营者等信息于15日内书面报告电子商务平台经营者所在地省级药监部门。</w:t>
            </w:r>
          </w:p>
        </w:tc>
        <w:tc>
          <w:tcPr>
            <w:tcW w:w="5539" w:type="dxa"/>
            <w:vAlign w:val="center"/>
          </w:tcPr>
          <w:p w14:paraId="2D591A30">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《化妆品生产经营监督管理办法》第四十七；《化妆品不良反应监测管理办法》第十六条、第二十一条</w:t>
            </w:r>
            <w:r>
              <w:rPr>
                <w:rFonts w:hint="eastAsia" w:ascii="方正仿宋_GBK" w:hAnsi="方正仿宋_GBK" w:eastAsia="方正仿宋_GBK" w:cs="方正仿宋_GBK"/>
                <w:kern w:val="0"/>
                <w:sz w:val="18"/>
                <w:szCs w:val="18"/>
              </w:rPr>
              <w:t>。</w:t>
            </w:r>
          </w:p>
        </w:tc>
      </w:tr>
      <w:tr w14:paraId="6D8A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55" w:type="dxa"/>
            <w:vMerge w:val="continue"/>
            <w:vAlign w:val="center"/>
          </w:tcPr>
          <w:p w14:paraId="0B982F1F">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55" w:type="dxa"/>
            <w:vAlign w:val="center"/>
          </w:tcPr>
          <w:p w14:paraId="74B1F9D4">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9</w:t>
            </w:r>
          </w:p>
        </w:tc>
        <w:tc>
          <w:tcPr>
            <w:tcW w:w="8522" w:type="dxa"/>
            <w:vAlign w:val="center"/>
          </w:tcPr>
          <w:p w14:paraId="04D45CB1">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通过开展日常检查、监管公开信息自查等质量安全管理活动或者收到负责药品监督管理的部门信息通报等方式，发现平台内化妆品经营者存在违法经营化妆品行为的，应当依法或者依据平台服务协议和交易规则采取删除、屏蔽、断开链接等必要措施及时制止。</w:t>
            </w:r>
          </w:p>
          <w:p w14:paraId="10EBA3A9">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发现有下列严重违法行为的，应当立即停止向平台内化妆品经营者提供电子商务平台服务：因化妆品质量安全相关犯罪被人民法院判处刑罚的；因化妆品质量安全违法行为被公安机关拘留或者给予其他治安管理处罚的；被药品监督管理部门依法作出吊销许可证、责令停产停业等处罚的；其他严重违法行为。因涉嫌化妆品质量安全犯罪被立案侦查或者提起公诉，且有证据证明可能危害人体健康的，可以依法或者依据平台服务协议和交易规则暂停向平台内化妆品经营者提供电子商务平台服务。知道或者应当知道平台内化妆品经营者被依法禁止从事化妆品生产经营活动的，不得向其提供电子商务平台服务。</w:t>
            </w:r>
          </w:p>
        </w:tc>
        <w:tc>
          <w:tcPr>
            <w:tcW w:w="5539" w:type="dxa"/>
            <w:vAlign w:val="center"/>
          </w:tcPr>
          <w:p w14:paraId="75AE7407">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《化妆品生产经营监督管理办法》第四十八条；《化妆品网络经营监督管理办法》第十五条</w:t>
            </w:r>
            <w:r>
              <w:rPr>
                <w:rFonts w:hint="eastAsia" w:ascii="方正仿宋_GBK" w:hAnsi="方正仿宋_GBK" w:eastAsia="方正仿宋_GBK" w:cs="方正仿宋_GBK"/>
                <w:kern w:val="0"/>
                <w:sz w:val="18"/>
                <w:szCs w:val="18"/>
              </w:rPr>
              <w:t>。</w:t>
            </w:r>
          </w:p>
        </w:tc>
      </w:tr>
      <w:tr w14:paraId="2129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755" w:type="dxa"/>
            <w:vMerge w:val="restart"/>
            <w:vAlign w:val="center"/>
          </w:tcPr>
          <w:p w14:paraId="46417BAA">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入网化妆品信息发布检查监控</w:t>
            </w:r>
          </w:p>
        </w:tc>
        <w:tc>
          <w:tcPr>
            <w:tcW w:w="755" w:type="dxa"/>
            <w:vAlign w:val="center"/>
          </w:tcPr>
          <w:p w14:paraId="323AC572">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10</w:t>
            </w:r>
          </w:p>
        </w:tc>
        <w:tc>
          <w:tcPr>
            <w:tcW w:w="8522" w:type="dxa"/>
            <w:vAlign w:val="center"/>
          </w:tcPr>
          <w:p w14:paraId="29091E00">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应当为平台内化妆品经营者依法履行化妆品信息披露等义务提供必要的技术支持和服务。</w:t>
            </w:r>
          </w:p>
          <w:p w14:paraId="32E21CCE">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鼓励化妆品电子商务平台经营者与负责药品监督管理的部门建立开放数据接口等形式的自动化信息报送机制。</w:t>
            </w:r>
          </w:p>
        </w:tc>
        <w:tc>
          <w:tcPr>
            <w:tcW w:w="5539" w:type="dxa"/>
            <w:vAlign w:val="center"/>
          </w:tcPr>
          <w:p w14:paraId="10D75846">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《网络交易监督管理办法》第二十六条</w:t>
            </w:r>
            <w:r>
              <w:rPr>
                <w:rFonts w:hint="eastAsia" w:ascii="方正仿宋_GBK" w:hAnsi="方正仿宋_GBK" w:eastAsia="方正仿宋_GBK" w:cs="方正仿宋_GBK"/>
                <w:kern w:val="0"/>
                <w:sz w:val="18"/>
                <w:szCs w:val="18"/>
              </w:rPr>
              <w:t>。</w:t>
            </w:r>
          </w:p>
        </w:tc>
      </w:tr>
      <w:tr w14:paraId="48A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755" w:type="dxa"/>
            <w:vMerge w:val="continue"/>
            <w:vAlign w:val="center"/>
          </w:tcPr>
          <w:p w14:paraId="5108B182">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55" w:type="dxa"/>
            <w:vAlign w:val="center"/>
          </w:tcPr>
          <w:p w14:paraId="3E678AA4">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11</w:t>
            </w:r>
          </w:p>
        </w:tc>
        <w:tc>
          <w:tcPr>
            <w:tcW w:w="8522" w:type="dxa"/>
            <w:vAlign w:val="center"/>
          </w:tcPr>
          <w:p w14:paraId="6609DB65">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应当记录、保存平台上发布的产品和服务信息、交易信息，并确保信息的完整性、保密性、可用性。产品和服务信息、交易信息保存时间自交易完成之日起不少于三年。</w:t>
            </w:r>
          </w:p>
          <w:p w14:paraId="3AD3CA73">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spacing w:val="-4"/>
                <w:kern w:val="0"/>
                <w:sz w:val="18"/>
                <w:szCs w:val="18"/>
              </w:rPr>
            </w:pPr>
            <w:r>
              <w:rPr>
                <w:rFonts w:hint="eastAsia" w:ascii="方正仿宋_GBK" w:hAnsi="方正仿宋_GBK" w:eastAsia="方正仿宋_GBK" w:cs="方正仿宋_GBK"/>
                <w:bCs/>
                <w:spacing w:val="-4"/>
                <w:kern w:val="0"/>
                <w:sz w:val="18"/>
                <w:szCs w:val="18"/>
                <w:lang w:bidi="ar"/>
              </w:rPr>
              <w:t>对平台内经营者身份信息的保存时间自其退出平台之日起不少于三年；对产品或者服务信息，支付记录、物流快递、退换货以及售后等交易信息的保存时间自交易完成之日起不少于三年。</w:t>
            </w:r>
          </w:p>
        </w:tc>
        <w:tc>
          <w:tcPr>
            <w:tcW w:w="5539" w:type="dxa"/>
            <w:vAlign w:val="center"/>
          </w:tcPr>
          <w:p w14:paraId="651A1E4A">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《电子商务法》第三十一条；《网络交易监督管理办法》第三十一条</w:t>
            </w:r>
            <w:r>
              <w:rPr>
                <w:rFonts w:hint="eastAsia" w:ascii="方正仿宋_GBK" w:hAnsi="方正仿宋_GBK" w:eastAsia="方正仿宋_GBK" w:cs="方正仿宋_GBK"/>
                <w:kern w:val="0"/>
                <w:sz w:val="18"/>
                <w:szCs w:val="18"/>
              </w:rPr>
              <w:t>。</w:t>
            </w:r>
          </w:p>
        </w:tc>
      </w:tr>
      <w:tr w14:paraId="5582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jc w:val="center"/>
        </w:trPr>
        <w:tc>
          <w:tcPr>
            <w:tcW w:w="755" w:type="dxa"/>
            <w:vMerge w:val="continue"/>
            <w:vAlign w:val="center"/>
          </w:tcPr>
          <w:p w14:paraId="01583856">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55" w:type="dxa"/>
            <w:vAlign w:val="center"/>
          </w:tcPr>
          <w:p w14:paraId="13897D3C">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12</w:t>
            </w:r>
          </w:p>
        </w:tc>
        <w:tc>
          <w:tcPr>
            <w:tcW w:w="8522" w:type="dxa"/>
            <w:vAlign w:val="center"/>
          </w:tcPr>
          <w:p w14:paraId="507B230C">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eastAsia="zh-Hans" w:bidi="ar"/>
              </w:rPr>
              <w:t>应当制定</w:t>
            </w:r>
            <w:r>
              <w:rPr>
                <w:rFonts w:hint="eastAsia" w:ascii="方正仿宋_GBK" w:hAnsi="方正仿宋_GBK" w:eastAsia="方正仿宋_GBK" w:cs="方正仿宋_GBK"/>
                <w:bCs/>
                <w:kern w:val="0"/>
                <w:sz w:val="18"/>
                <w:szCs w:val="18"/>
                <w:lang w:bidi="ar"/>
              </w:rPr>
              <w:t>平台服务协议和交易规则，</w:t>
            </w:r>
            <w:r>
              <w:rPr>
                <w:rFonts w:hint="eastAsia" w:ascii="方正仿宋_GBK" w:hAnsi="方正仿宋_GBK" w:eastAsia="方正仿宋_GBK" w:cs="方正仿宋_GBK"/>
                <w:bCs/>
                <w:kern w:val="0"/>
                <w:sz w:val="18"/>
                <w:szCs w:val="18"/>
                <w:lang w:eastAsia="zh-Hans" w:bidi="ar"/>
              </w:rPr>
              <w:t>其中有关进入和退出平台、商品和服务质量保障、消费者权益保护等内容</w:t>
            </w:r>
            <w:r>
              <w:rPr>
                <w:rFonts w:hint="eastAsia" w:ascii="方正仿宋_GBK" w:hAnsi="方正仿宋_GBK" w:eastAsia="方正仿宋_GBK" w:cs="方正仿宋_GBK"/>
                <w:bCs/>
                <w:kern w:val="0"/>
                <w:sz w:val="18"/>
                <w:szCs w:val="18"/>
                <w:lang w:bidi="ar"/>
              </w:rPr>
              <w:t>，</w:t>
            </w:r>
            <w:r>
              <w:rPr>
                <w:rFonts w:hint="eastAsia" w:ascii="方正仿宋_GBK" w:hAnsi="方正仿宋_GBK" w:eastAsia="方正仿宋_GBK" w:cs="方正仿宋_GBK"/>
                <w:bCs/>
                <w:kern w:val="0"/>
                <w:sz w:val="18"/>
                <w:szCs w:val="18"/>
                <w:lang w:eastAsia="zh-Hans" w:bidi="ar"/>
              </w:rPr>
              <w:t>应当包括平台内化妆品经营者主体</w:t>
            </w:r>
            <w:r>
              <w:rPr>
                <w:rFonts w:hint="eastAsia" w:ascii="方正仿宋_GBK" w:hAnsi="方正仿宋_GBK" w:eastAsia="方正仿宋_GBK" w:cs="方正仿宋_GBK"/>
                <w:bCs/>
                <w:kern w:val="0"/>
                <w:sz w:val="18"/>
                <w:szCs w:val="18"/>
                <w:lang w:bidi="ar"/>
              </w:rPr>
              <w:t>资质</w:t>
            </w:r>
            <w:r>
              <w:rPr>
                <w:rFonts w:hint="eastAsia" w:ascii="方正仿宋_GBK" w:hAnsi="方正仿宋_GBK" w:eastAsia="方正仿宋_GBK" w:cs="方正仿宋_GBK"/>
                <w:bCs/>
                <w:kern w:val="0"/>
                <w:sz w:val="18"/>
                <w:szCs w:val="18"/>
                <w:lang w:eastAsia="zh-Hans" w:bidi="ar"/>
              </w:rPr>
              <w:t>审核</w:t>
            </w:r>
            <w:r>
              <w:rPr>
                <w:rFonts w:hint="eastAsia" w:ascii="方正仿宋_GBK" w:hAnsi="方正仿宋_GBK" w:eastAsia="方正仿宋_GBK" w:cs="方正仿宋_GBK"/>
                <w:bCs/>
                <w:kern w:val="0"/>
                <w:sz w:val="18"/>
                <w:szCs w:val="18"/>
                <w:lang w:bidi="ar"/>
              </w:rPr>
              <w:t>、</w:t>
            </w:r>
            <w:r>
              <w:rPr>
                <w:rFonts w:hint="eastAsia" w:ascii="方正仿宋_GBK" w:hAnsi="方正仿宋_GBK" w:eastAsia="方正仿宋_GBK" w:cs="方正仿宋_GBK"/>
                <w:bCs/>
                <w:kern w:val="0"/>
                <w:sz w:val="18"/>
                <w:szCs w:val="18"/>
                <w:lang w:eastAsia="zh-Hans" w:bidi="ar"/>
              </w:rPr>
              <w:t>产品</w:t>
            </w:r>
            <w:r>
              <w:rPr>
                <w:rFonts w:hint="eastAsia" w:ascii="方正仿宋_GBK" w:hAnsi="方正仿宋_GBK" w:eastAsia="方正仿宋_GBK" w:cs="方正仿宋_GBK"/>
                <w:bCs/>
                <w:kern w:val="0"/>
                <w:sz w:val="18"/>
                <w:szCs w:val="18"/>
                <w:lang w:bidi="ar"/>
              </w:rPr>
              <w:t>信息发布</w:t>
            </w:r>
            <w:r>
              <w:rPr>
                <w:rFonts w:hint="eastAsia" w:ascii="方正仿宋_GBK" w:hAnsi="方正仿宋_GBK" w:eastAsia="方正仿宋_GBK" w:cs="方正仿宋_GBK"/>
                <w:bCs/>
                <w:kern w:val="0"/>
                <w:sz w:val="18"/>
                <w:szCs w:val="18"/>
                <w:lang w:eastAsia="zh-Hans" w:bidi="ar"/>
              </w:rPr>
              <w:t>规则</w:t>
            </w:r>
            <w:r>
              <w:rPr>
                <w:rFonts w:hint="eastAsia" w:ascii="方正仿宋_GBK" w:hAnsi="方正仿宋_GBK" w:eastAsia="方正仿宋_GBK" w:cs="方正仿宋_GBK"/>
                <w:bCs/>
                <w:kern w:val="0"/>
                <w:sz w:val="18"/>
                <w:szCs w:val="18"/>
                <w:lang w:bidi="ar"/>
              </w:rPr>
              <w:t>、违法行为处置等方面的要求</w:t>
            </w:r>
          </w:p>
          <w:p w14:paraId="0CDE560C">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应当对平台内经营者及其发布的商品或者服务信息建立检查监控制度。发现平台内的商品或者服务信息有违反市场监督管理法律、法规、规章，损害国家利益和社会公共利益，违背公序良俗的，应当依法采取必要的处置措施，保存有关记录，并向平台住所地县级以上市场监督管理部门报告。</w:t>
            </w:r>
          </w:p>
          <w:p w14:paraId="44579EB7">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应当在平台内化妆品经营者入驻平台发布化妆品产品信息时开展检查，核实平台内化妆品经营者发布的产品名称、特殊化妆品注册证编号、产品执行的标准编号等信息与国家药品监督管理局官方网站公布的相应产品信息的一致性。鼓励化妆品电子商务平台经营者利用信息化等技术手段开展入网产品发布信息检查。</w:t>
            </w:r>
          </w:p>
        </w:tc>
        <w:tc>
          <w:tcPr>
            <w:tcW w:w="5539" w:type="dxa"/>
            <w:vAlign w:val="center"/>
          </w:tcPr>
          <w:p w14:paraId="7961FDD8">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《电子商务法》第十三条；《化妆品监督管理条例》第四十一条；《网络交易监督管理办法》第二十九条；《化妆品网络经营监督管理办法》第八条、第十二条</w:t>
            </w:r>
            <w:r>
              <w:rPr>
                <w:rFonts w:hint="eastAsia" w:ascii="方正仿宋_GBK" w:hAnsi="方正仿宋_GBK" w:eastAsia="方正仿宋_GBK" w:cs="方正仿宋_GBK"/>
                <w:kern w:val="0"/>
                <w:sz w:val="18"/>
                <w:szCs w:val="18"/>
              </w:rPr>
              <w:t>。</w:t>
            </w:r>
          </w:p>
        </w:tc>
      </w:tr>
      <w:tr w14:paraId="1FF0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55" w:type="dxa"/>
            <w:vAlign w:val="center"/>
          </w:tcPr>
          <w:p w14:paraId="55482D1F">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入网化妆品信息发布检查监控</w:t>
            </w:r>
          </w:p>
        </w:tc>
        <w:tc>
          <w:tcPr>
            <w:tcW w:w="755" w:type="dxa"/>
            <w:vAlign w:val="center"/>
          </w:tcPr>
          <w:p w14:paraId="762C1057">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13</w:t>
            </w:r>
          </w:p>
        </w:tc>
        <w:tc>
          <w:tcPr>
            <w:tcW w:w="8522" w:type="dxa"/>
            <w:vAlign w:val="center"/>
          </w:tcPr>
          <w:p w14:paraId="50074A24">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lang w:eastAsia="zh-Hans" w:bidi="ar"/>
              </w:rPr>
            </w:pPr>
            <w:r>
              <w:rPr>
                <w:rFonts w:hint="eastAsia" w:ascii="方正仿宋_GBK" w:hAnsi="方正仿宋_GBK" w:eastAsia="方正仿宋_GBK" w:cs="方正仿宋_GBK"/>
                <w:bCs/>
                <w:kern w:val="0"/>
                <w:sz w:val="18"/>
                <w:szCs w:val="18"/>
                <w:lang w:eastAsia="zh-Hans" w:bidi="ar"/>
              </w:rPr>
              <w:t>对发现的违法经营化妆品行为采取措施及时制止后，对于下列涉及产品质量安全重大信息的情形，应当自发现之日起10日内将相关情况及平台内化妆品经营者涉嫌违法经营的线索报告平台内化妆品经营者实际经营地省级药品监督管理部门，内容包括涉及平台内化妆品经营者的主体信息、涉及产品的信息、质量安全重大信息相关情况说明、化妆品电子商务平台经营者已做出的处置措施等信息：因使用入网经营的化妆品导致人体全身性损害、危及生命或者造成死亡的；有证据表明入网经营的化妆品中使用禁用原料或者非法添加可能危害人体健康物质的；入网经营的化妆品存在其他重大产品质量安全问题。</w:t>
            </w:r>
          </w:p>
          <w:p w14:paraId="0F5DBAF3">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eastAsia="zh-Hans" w:bidi="ar"/>
              </w:rPr>
              <w:t>应当每季度将本平台发现的平台内化妆品经营者违法经营行为以及处置措施书面报告化妆品电子商务平台经营者住所地省级药品监督管理部门。</w:t>
            </w:r>
          </w:p>
        </w:tc>
        <w:tc>
          <w:tcPr>
            <w:tcW w:w="5539" w:type="dxa"/>
            <w:vAlign w:val="center"/>
          </w:tcPr>
          <w:p w14:paraId="766DD2CB">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《化妆品网络经营监督管理办法》第十六条、第十七条</w:t>
            </w:r>
            <w:r>
              <w:rPr>
                <w:rFonts w:hint="eastAsia" w:ascii="方正仿宋_GBK" w:hAnsi="方正仿宋_GBK" w:eastAsia="方正仿宋_GBK" w:cs="方正仿宋_GBK"/>
                <w:kern w:val="0"/>
                <w:sz w:val="18"/>
                <w:szCs w:val="18"/>
              </w:rPr>
              <w:t>。</w:t>
            </w:r>
          </w:p>
        </w:tc>
      </w:tr>
      <w:tr w14:paraId="543B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jc w:val="center"/>
        </w:trPr>
        <w:tc>
          <w:tcPr>
            <w:tcW w:w="755" w:type="dxa"/>
            <w:vAlign w:val="center"/>
          </w:tcPr>
          <w:p w14:paraId="4D1F3ABC">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协助监管义务</w:t>
            </w:r>
          </w:p>
        </w:tc>
        <w:tc>
          <w:tcPr>
            <w:tcW w:w="755" w:type="dxa"/>
            <w:vAlign w:val="center"/>
          </w:tcPr>
          <w:p w14:paraId="7FBBC5F9">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14</w:t>
            </w:r>
          </w:p>
        </w:tc>
        <w:tc>
          <w:tcPr>
            <w:tcW w:w="8522" w:type="dxa"/>
            <w:vAlign w:val="center"/>
          </w:tcPr>
          <w:p w14:paraId="5F02105D">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负责药品监督管理的部门因监督检查、案件调查等工作需要，要求依法提供相关信息的，应当予以协助、配合。</w:t>
            </w:r>
          </w:p>
          <w:p w14:paraId="6F99EE54">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省级、设区的市级负责药品监督管理的部门因监督检查、案件调查等工作，需要调取平台内化妆品经营者信息、产品信息、交易记录、物流快递等相关信息的，应当予以提供，并在技术方面配合负责药品监督管理的部门开展化妆品网络经营违法行为监测工作。</w:t>
            </w:r>
          </w:p>
          <w:p w14:paraId="0106C529">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接到负责药品监督管理的部门要求采取必要处置措施控制风险的，应当依法或者依据平台服务协议和交易规则采取删除、屏蔽、断开连接等必要措施控制产品风险。</w:t>
            </w:r>
          </w:p>
        </w:tc>
        <w:tc>
          <w:tcPr>
            <w:tcW w:w="5539" w:type="dxa"/>
            <w:vAlign w:val="center"/>
          </w:tcPr>
          <w:p w14:paraId="5C24B439">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《化妆品生产经营监督管理办法》第四十七条；《化妆品网络经营监督管理办法》第二十九条、第三十条</w:t>
            </w:r>
            <w:r>
              <w:rPr>
                <w:rFonts w:hint="eastAsia" w:ascii="方正仿宋_GBK" w:hAnsi="方正仿宋_GBK" w:eastAsia="方正仿宋_GBK" w:cs="方正仿宋_GBK"/>
                <w:kern w:val="0"/>
                <w:sz w:val="18"/>
                <w:szCs w:val="18"/>
              </w:rPr>
              <w:t>。</w:t>
            </w:r>
          </w:p>
        </w:tc>
      </w:tr>
      <w:tr w14:paraId="2B7D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755" w:type="dxa"/>
            <w:vAlign w:val="center"/>
          </w:tcPr>
          <w:p w14:paraId="334AF03C">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鼓励内容</w:t>
            </w:r>
          </w:p>
        </w:tc>
        <w:tc>
          <w:tcPr>
            <w:tcW w:w="755" w:type="dxa"/>
            <w:vAlign w:val="center"/>
          </w:tcPr>
          <w:p w14:paraId="2ED5FAA6">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15</w:t>
            </w:r>
          </w:p>
        </w:tc>
        <w:tc>
          <w:tcPr>
            <w:tcW w:w="8522" w:type="dxa"/>
            <w:vAlign w:val="center"/>
          </w:tcPr>
          <w:p w14:paraId="3DDD09EA">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鼓励定期对入网经营的化妆品采取抽样检验等方式进行质量安全监测，排查入网化妆品的产品质量安全风险。</w:t>
            </w:r>
          </w:p>
          <w:p w14:paraId="27016536">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鼓励对本平台内化妆品经营者的经营行为开展网络监测。</w:t>
            </w:r>
          </w:p>
        </w:tc>
        <w:tc>
          <w:tcPr>
            <w:tcW w:w="5539" w:type="dxa"/>
            <w:vAlign w:val="center"/>
          </w:tcPr>
          <w:p w14:paraId="1B0E40F8">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《化妆品生产经营监督管理办法》第四十六条；《化妆品网络经营监督管理办法》第十三条、第二十五条</w:t>
            </w:r>
            <w:r>
              <w:rPr>
                <w:rFonts w:hint="eastAsia" w:ascii="方正仿宋_GBK" w:hAnsi="方正仿宋_GBK" w:eastAsia="方正仿宋_GBK" w:cs="方正仿宋_GBK"/>
                <w:kern w:val="0"/>
                <w:sz w:val="18"/>
                <w:szCs w:val="18"/>
              </w:rPr>
              <w:t>。</w:t>
            </w:r>
          </w:p>
        </w:tc>
      </w:tr>
    </w:tbl>
    <w:p w14:paraId="05024895">
      <w:pPr>
        <w:rPr>
          <w:rFonts w:ascii="Times New Roman" w:hAnsi="Times New Roman"/>
        </w:rPr>
      </w:pPr>
    </w:p>
    <w:tbl>
      <w:tblPr>
        <w:tblStyle w:val="9"/>
        <w:tblW w:w="15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62"/>
        <w:gridCol w:w="8515"/>
        <w:gridCol w:w="5549"/>
      </w:tblGrid>
      <w:tr w14:paraId="7944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jc w:val="center"/>
        </w:trPr>
        <w:tc>
          <w:tcPr>
            <w:tcW w:w="765" w:type="dxa"/>
            <w:vAlign w:val="center"/>
          </w:tcPr>
          <w:p w14:paraId="6C50D726">
            <w:pPr>
              <w:widowControl/>
              <w:spacing w:line="400" w:lineRule="exact"/>
              <w:jc w:val="center"/>
              <w:rPr>
                <w:rFonts w:eastAsia="方正黑体_GBK" w:cs="宋体"/>
                <w:kern w:val="0"/>
                <w:sz w:val="18"/>
                <w:szCs w:val="18"/>
              </w:rPr>
            </w:pPr>
            <w:r>
              <w:rPr>
                <w:rFonts w:hint="eastAsia" w:eastAsia="方正黑体_GBK" w:cs="宋体"/>
                <w:kern w:val="0"/>
                <w:sz w:val="18"/>
                <w:szCs w:val="18"/>
              </w:rPr>
              <w:t>表20</w:t>
            </w:r>
          </w:p>
        </w:tc>
        <w:tc>
          <w:tcPr>
            <w:tcW w:w="14826" w:type="dxa"/>
            <w:gridSpan w:val="3"/>
            <w:vAlign w:val="center"/>
          </w:tcPr>
          <w:p w14:paraId="2FCF4398">
            <w:pPr>
              <w:widowControl/>
              <w:spacing w:line="400" w:lineRule="exact"/>
              <w:jc w:val="center"/>
              <w:rPr>
                <w:rFonts w:eastAsia="方正黑体_GBK" w:cs="宋体"/>
                <w:bCs/>
                <w:kern w:val="0"/>
                <w:sz w:val="18"/>
                <w:szCs w:val="18"/>
              </w:rPr>
            </w:pPr>
            <w:r>
              <w:rPr>
                <w:rFonts w:hint="eastAsia" w:eastAsia="方正黑体_GBK" w:cs="宋体"/>
                <w:bCs/>
                <w:kern w:val="0"/>
                <w:sz w:val="18"/>
                <w:szCs w:val="18"/>
              </w:rPr>
              <w:t>电子商务平台内化妆品经营者主体责任清单（含</w:t>
            </w:r>
            <w:r>
              <w:rPr>
                <w:rFonts w:hint="eastAsia" w:eastAsia="方正黑体_GBK" w:cs="宋体"/>
                <w:bCs/>
                <w:kern w:val="0"/>
                <w:sz w:val="18"/>
                <w:szCs w:val="18"/>
                <w:lang w:eastAsia="zh-Hans"/>
              </w:rPr>
              <w:t>通过自建网站、</w:t>
            </w:r>
            <w:r>
              <w:rPr>
                <w:rFonts w:hint="eastAsia" w:eastAsia="方正黑体_GBK" w:cs="宋体"/>
                <w:bCs/>
                <w:kern w:val="0"/>
                <w:sz w:val="18"/>
                <w:szCs w:val="18"/>
              </w:rPr>
              <w:t>其他网络服务经营化妆品的电子商务经营者）</w:t>
            </w:r>
          </w:p>
        </w:tc>
      </w:tr>
      <w:tr w14:paraId="2BC8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765" w:type="dxa"/>
            <w:vAlign w:val="center"/>
          </w:tcPr>
          <w:p w14:paraId="18F742F3">
            <w:pPr>
              <w:widowControl/>
              <w:spacing w:line="400" w:lineRule="exact"/>
              <w:jc w:val="center"/>
              <w:rPr>
                <w:rFonts w:eastAsia="方正黑体_GBK" w:cs="宋体"/>
                <w:bCs/>
                <w:kern w:val="0"/>
                <w:sz w:val="18"/>
                <w:szCs w:val="18"/>
              </w:rPr>
            </w:pPr>
            <w:r>
              <w:rPr>
                <w:rFonts w:hint="eastAsia" w:eastAsia="方正黑体_GBK" w:cs="宋体"/>
                <w:bCs/>
                <w:kern w:val="0"/>
                <w:sz w:val="18"/>
                <w:szCs w:val="18"/>
              </w:rPr>
              <w:t>分类</w:t>
            </w:r>
          </w:p>
        </w:tc>
        <w:tc>
          <w:tcPr>
            <w:tcW w:w="762" w:type="dxa"/>
            <w:vAlign w:val="center"/>
          </w:tcPr>
          <w:p w14:paraId="1920F477">
            <w:pPr>
              <w:widowControl/>
              <w:spacing w:line="400" w:lineRule="exact"/>
              <w:jc w:val="center"/>
              <w:rPr>
                <w:rFonts w:eastAsia="方正黑体_GBK" w:cs="宋体"/>
                <w:bCs/>
                <w:kern w:val="0"/>
                <w:sz w:val="18"/>
                <w:szCs w:val="18"/>
              </w:rPr>
            </w:pPr>
            <w:r>
              <w:rPr>
                <w:rFonts w:hint="eastAsia" w:eastAsia="方正黑体_GBK" w:cs="宋体"/>
                <w:bCs/>
                <w:kern w:val="0"/>
                <w:sz w:val="18"/>
                <w:szCs w:val="18"/>
              </w:rPr>
              <w:t>序号</w:t>
            </w:r>
          </w:p>
        </w:tc>
        <w:tc>
          <w:tcPr>
            <w:tcW w:w="8515" w:type="dxa"/>
            <w:vAlign w:val="center"/>
          </w:tcPr>
          <w:p w14:paraId="694CA62B">
            <w:pPr>
              <w:widowControl/>
              <w:spacing w:line="400" w:lineRule="exact"/>
              <w:jc w:val="center"/>
              <w:rPr>
                <w:rFonts w:eastAsia="方正黑体_GBK" w:cs="宋体"/>
                <w:bCs/>
                <w:kern w:val="0"/>
                <w:sz w:val="18"/>
                <w:szCs w:val="18"/>
              </w:rPr>
            </w:pPr>
            <w:r>
              <w:rPr>
                <w:rFonts w:hint="eastAsia" w:eastAsia="方正黑体_GBK" w:cs="宋体"/>
                <w:bCs/>
                <w:kern w:val="0"/>
                <w:sz w:val="18"/>
                <w:szCs w:val="18"/>
              </w:rPr>
              <w:t>主体责任</w:t>
            </w:r>
          </w:p>
        </w:tc>
        <w:tc>
          <w:tcPr>
            <w:tcW w:w="5549" w:type="dxa"/>
            <w:vAlign w:val="center"/>
          </w:tcPr>
          <w:p w14:paraId="5C841B92">
            <w:pPr>
              <w:widowControl/>
              <w:spacing w:line="400" w:lineRule="exact"/>
              <w:jc w:val="center"/>
              <w:rPr>
                <w:rFonts w:eastAsia="方正黑体_GBK" w:cs="宋体"/>
                <w:bCs/>
                <w:kern w:val="0"/>
                <w:sz w:val="18"/>
                <w:szCs w:val="18"/>
              </w:rPr>
            </w:pPr>
            <w:r>
              <w:rPr>
                <w:rFonts w:hint="eastAsia" w:eastAsia="方正黑体_GBK" w:cs="宋体"/>
                <w:bCs/>
                <w:kern w:val="0"/>
                <w:sz w:val="18"/>
                <w:szCs w:val="18"/>
              </w:rPr>
              <w:t>责任依据</w:t>
            </w:r>
          </w:p>
        </w:tc>
      </w:tr>
      <w:tr w14:paraId="5C7F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5" w:type="dxa"/>
            <w:vMerge w:val="restart"/>
            <w:vAlign w:val="center"/>
          </w:tcPr>
          <w:p w14:paraId="3DA82187">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主体资格及信息公示</w:t>
            </w:r>
          </w:p>
        </w:tc>
        <w:tc>
          <w:tcPr>
            <w:tcW w:w="762" w:type="dxa"/>
            <w:vAlign w:val="center"/>
          </w:tcPr>
          <w:p w14:paraId="36B523DA">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1</w:t>
            </w:r>
          </w:p>
        </w:tc>
        <w:tc>
          <w:tcPr>
            <w:tcW w:w="8515" w:type="dxa"/>
            <w:vAlign w:val="center"/>
          </w:tcPr>
          <w:p w14:paraId="00384B27">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应当依法办理市场主体登记，并在其网站首页或者从事经营活动的主页面显著位置，持续公示经营者主体信息或者该信息的链接标识。</w:t>
            </w:r>
          </w:p>
          <w:p w14:paraId="44E227F9">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个人从事网络交易活动，年交易额累计不超过10万元的，依照规定不需要进行登记的，应当如实公示自我声明以及实际经营地址、联系方式等信息，或者该信息的链接标识。</w:t>
            </w:r>
          </w:p>
        </w:tc>
        <w:tc>
          <w:tcPr>
            <w:tcW w:w="5549" w:type="dxa"/>
            <w:vAlign w:val="center"/>
          </w:tcPr>
          <w:p w14:paraId="01C29338">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《中华人民共和国市场主体登记管理条例》第三条、第三十六条；《电子商务法》第十条；《网络交易监督管理办法》第十二条</w:t>
            </w:r>
            <w:r>
              <w:rPr>
                <w:rFonts w:hint="eastAsia" w:ascii="方正仿宋_GBK" w:hAnsi="方正仿宋_GBK" w:eastAsia="方正仿宋_GBK" w:cs="方正仿宋_GBK"/>
                <w:kern w:val="0"/>
                <w:sz w:val="18"/>
                <w:szCs w:val="18"/>
              </w:rPr>
              <w:t>。</w:t>
            </w:r>
          </w:p>
        </w:tc>
      </w:tr>
      <w:tr w14:paraId="639F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5" w:type="dxa"/>
            <w:vMerge w:val="continue"/>
            <w:vAlign w:val="center"/>
          </w:tcPr>
          <w:p w14:paraId="1D922939">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62" w:type="dxa"/>
            <w:vAlign w:val="center"/>
          </w:tcPr>
          <w:p w14:paraId="754FB048">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2</w:t>
            </w:r>
          </w:p>
        </w:tc>
        <w:tc>
          <w:tcPr>
            <w:tcW w:w="8515" w:type="dxa"/>
            <w:vAlign w:val="center"/>
          </w:tcPr>
          <w:p w14:paraId="0BE0358A">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应当向化妆品电子商务平台经营者提交身份、地址、联系方式等真实信息，发生变更及时提交更新。</w:t>
            </w:r>
          </w:p>
          <w:p w14:paraId="2C6E1251">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平台内经营者公示的信息发生变更的，应当在三个工作日内将变更情况报送平台。</w:t>
            </w:r>
          </w:p>
        </w:tc>
        <w:tc>
          <w:tcPr>
            <w:tcW w:w="5549" w:type="dxa"/>
            <w:vAlign w:val="center"/>
          </w:tcPr>
          <w:p w14:paraId="367BC509">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《电子商务法》第二十七条；《化妆品生产经营监督管理办法》第四十五条；《化妆品网络经营监督管理办法》第十条、第二十六条</w:t>
            </w:r>
            <w:r>
              <w:rPr>
                <w:rFonts w:hint="eastAsia" w:ascii="方正仿宋_GBK" w:hAnsi="方正仿宋_GBK" w:eastAsia="方正仿宋_GBK" w:cs="方正仿宋_GBK"/>
                <w:kern w:val="0"/>
                <w:sz w:val="18"/>
                <w:szCs w:val="18"/>
              </w:rPr>
              <w:t>。</w:t>
            </w:r>
          </w:p>
        </w:tc>
      </w:tr>
      <w:tr w14:paraId="5483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6" w:hRule="atLeast"/>
          <w:jc w:val="center"/>
        </w:trPr>
        <w:tc>
          <w:tcPr>
            <w:tcW w:w="765" w:type="dxa"/>
            <w:vAlign w:val="center"/>
          </w:tcPr>
          <w:p w14:paraId="5A1E0996">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进货查验</w:t>
            </w:r>
          </w:p>
        </w:tc>
        <w:tc>
          <w:tcPr>
            <w:tcW w:w="762" w:type="dxa"/>
            <w:vAlign w:val="center"/>
          </w:tcPr>
          <w:p w14:paraId="500C216B">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3</w:t>
            </w:r>
          </w:p>
        </w:tc>
        <w:tc>
          <w:tcPr>
            <w:tcW w:w="8515" w:type="dxa"/>
            <w:vAlign w:val="center"/>
          </w:tcPr>
          <w:p w14:paraId="22B80FE1">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依法建立并执行进货查验记录制度，如实记录产品相关信息并保存相关凭证。具体查验内容：</w:t>
            </w:r>
          </w:p>
          <w:p w14:paraId="504C7398">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（1）查验直接供货者的市场主体登记证明，严格索证索票管理，确保产品来源合法合规；</w:t>
            </w:r>
          </w:p>
          <w:p w14:paraId="0ABE2804">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（2）查验特殊化妆品注册信息或者普通化妆品备案信息，禁止经营未经注册或备案的化妆品（登录国家药品监督管理局网站查询化妆品注册备案信息）；</w:t>
            </w:r>
          </w:p>
          <w:p w14:paraId="7B96DFF9">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3）查验化妆品的产品出厂检验合格证明及产品相关信息；进口化妆品（含参照进口化妆品管理）是否经海关检验检疫，是否有合法来源证明等凭证；如实记录化妆品名称、特殊化妆品注册证编号或者普通化妆品备案编号、使用期限、净含量、购进数量、供货者名称、地址、联系方式、购进日期等内容，并保存相关凭证；</w:t>
            </w:r>
          </w:p>
          <w:p w14:paraId="0B98F22A">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（4）进货查验记录要求真实、完整，保证可追溯；</w:t>
            </w:r>
          </w:p>
          <w:p w14:paraId="41A78F19">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（5）经营儿童化妆品的，还应</w:t>
            </w:r>
            <w:r>
              <w:rPr>
                <w:rFonts w:hint="eastAsia" w:ascii="方正仿宋_GBK" w:hAnsi="方正仿宋_GBK" w:eastAsia="方正仿宋_GBK" w:cs="方正仿宋_GBK"/>
                <w:bCs/>
                <w:kern w:val="0"/>
                <w:sz w:val="18"/>
                <w:szCs w:val="18"/>
                <w:lang w:eastAsia="zh-Hans"/>
              </w:rPr>
              <w:t>当查验</w:t>
            </w:r>
            <w:r>
              <w:rPr>
                <w:rFonts w:hint="eastAsia" w:ascii="方正仿宋_GBK" w:hAnsi="方正仿宋_GBK" w:eastAsia="方正仿宋_GBK" w:cs="方正仿宋_GBK"/>
                <w:bCs/>
                <w:kern w:val="0"/>
                <w:sz w:val="18"/>
                <w:szCs w:val="18"/>
              </w:rPr>
              <w:t>儿童化妆品标志，并</w:t>
            </w:r>
            <w:r>
              <w:rPr>
                <w:rFonts w:hint="eastAsia" w:ascii="方正仿宋_GBK" w:hAnsi="方正仿宋_GBK" w:eastAsia="方正仿宋_GBK" w:cs="方正仿宋_GBK"/>
                <w:bCs/>
                <w:kern w:val="0"/>
                <w:sz w:val="18"/>
                <w:szCs w:val="18"/>
                <w:lang w:eastAsia="zh-Hans"/>
              </w:rPr>
              <w:t>对</w:t>
            </w:r>
            <w:r>
              <w:rPr>
                <w:rFonts w:hint="eastAsia" w:ascii="方正仿宋_GBK" w:hAnsi="方正仿宋_GBK" w:eastAsia="方正仿宋_GBK" w:cs="方正仿宋_GBK"/>
                <w:bCs/>
                <w:kern w:val="0"/>
                <w:sz w:val="18"/>
                <w:szCs w:val="18"/>
              </w:rPr>
              <w:t>所经营儿童化妆品标签信息</w:t>
            </w:r>
            <w:r>
              <w:rPr>
                <w:rFonts w:hint="eastAsia" w:ascii="方正仿宋_GBK" w:hAnsi="方正仿宋_GBK" w:eastAsia="方正仿宋_GBK" w:cs="方正仿宋_GBK"/>
                <w:bCs/>
                <w:kern w:val="0"/>
                <w:sz w:val="18"/>
                <w:szCs w:val="18"/>
                <w:lang w:eastAsia="zh-Hans"/>
              </w:rPr>
              <w:t>与</w:t>
            </w:r>
            <w:r>
              <w:rPr>
                <w:rFonts w:hint="eastAsia" w:ascii="方正仿宋_GBK" w:hAnsi="方正仿宋_GBK" w:eastAsia="方正仿宋_GBK" w:cs="方正仿宋_GBK"/>
                <w:bCs/>
                <w:kern w:val="0"/>
                <w:sz w:val="18"/>
                <w:szCs w:val="18"/>
              </w:rPr>
              <w:t>国家药品监督管理局官方网站上公布的相应产品信息进行核对。</w:t>
            </w:r>
          </w:p>
          <w:p w14:paraId="04CE4347">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（6）进货查验记录保存期限：不得少于化妆品使用期限届满后1年；产品使用期限不足1年的，记录保存期限不得少于2年。</w:t>
            </w:r>
          </w:p>
        </w:tc>
        <w:tc>
          <w:tcPr>
            <w:tcW w:w="5549" w:type="dxa"/>
            <w:vAlign w:val="center"/>
          </w:tcPr>
          <w:p w14:paraId="6B9DFBE9">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《化妆品监督管理条例》第四条、第六条</w:t>
            </w:r>
            <w:r>
              <w:rPr>
                <w:rFonts w:hint="eastAsia" w:ascii="方正仿宋_GBK" w:hAnsi="方正仿宋_GBK" w:eastAsia="方正仿宋_GBK" w:cs="方正仿宋_GBK"/>
                <w:bCs/>
                <w:kern w:val="0"/>
                <w:sz w:val="18"/>
                <w:szCs w:val="18"/>
              </w:rPr>
              <w:t>、</w:t>
            </w:r>
            <w:r>
              <w:rPr>
                <w:rFonts w:hint="eastAsia" w:ascii="方正仿宋_GBK" w:hAnsi="方正仿宋_GBK" w:eastAsia="方正仿宋_GBK" w:cs="方正仿宋_GBK"/>
                <w:bCs/>
                <w:kern w:val="0"/>
                <w:sz w:val="18"/>
                <w:szCs w:val="18"/>
                <w:lang w:bidi="ar"/>
              </w:rPr>
              <w:t>第十七条</w:t>
            </w:r>
            <w:r>
              <w:rPr>
                <w:rFonts w:hint="eastAsia" w:ascii="方正仿宋_GBK" w:hAnsi="方正仿宋_GBK" w:eastAsia="方正仿宋_GBK" w:cs="方正仿宋_GBK"/>
                <w:bCs/>
                <w:kern w:val="0"/>
                <w:sz w:val="18"/>
                <w:szCs w:val="18"/>
              </w:rPr>
              <w:t>、</w:t>
            </w:r>
            <w:r>
              <w:rPr>
                <w:rFonts w:hint="eastAsia" w:ascii="方正仿宋_GBK" w:hAnsi="方正仿宋_GBK" w:eastAsia="方正仿宋_GBK" w:cs="方正仿宋_GBK"/>
                <w:bCs/>
                <w:kern w:val="0"/>
                <w:sz w:val="18"/>
                <w:szCs w:val="18"/>
                <w:lang w:bidi="ar"/>
              </w:rPr>
              <w:t>第三十一条、第三十八条</w:t>
            </w:r>
            <w:r>
              <w:rPr>
                <w:rFonts w:hint="eastAsia" w:ascii="方正仿宋_GBK" w:hAnsi="方正仿宋_GBK" w:eastAsia="方正仿宋_GBK" w:cs="方正仿宋_GBK"/>
                <w:bCs/>
                <w:kern w:val="0"/>
                <w:sz w:val="18"/>
                <w:szCs w:val="18"/>
              </w:rPr>
              <w:t>、</w:t>
            </w:r>
            <w:r>
              <w:rPr>
                <w:rFonts w:hint="eastAsia" w:ascii="方正仿宋_GBK" w:hAnsi="方正仿宋_GBK" w:eastAsia="方正仿宋_GBK" w:cs="方正仿宋_GBK"/>
                <w:bCs/>
                <w:kern w:val="0"/>
                <w:sz w:val="18"/>
                <w:szCs w:val="18"/>
                <w:lang w:bidi="ar"/>
              </w:rPr>
              <w:t>第四十五条；《化妆品生产经营监督管理办法》第三十九条、第四十条；《化妆品注册备案管理办法》第三十五条、第六十一条；《化妆品网络经营监督管理办法》第二十条</w:t>
            </w:r>
            <w:r>
              <w:rPr>
                <w:rFonts w:hint="eastAsia" w:ascii="方正仿宋_GBK" w:hAnsi="方正仿宋_GBK" w:eastAsia="方正仿宋_GBK" w:cs="方正仿宋_GBK"/>
                <w:kern w:val="0"/>
                <w:sz w:val="18"/>
                <w:szCs w:val="18"/>
              </w:rPr>
              <w:t>。</w:t>
            </w:r>
          </w:p>
        </w:tc>
      </w:tr>
      <w:tr w14:paraId="2C84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jc w:val="center"/>
        </w:trPr>
        <w:tc>
          <w:tcPr>
            <w:tcW w:w="765" w:type="dxa"/>
            <w:vAlign w:val="center"/>
          </w:tcPr>
          <w:p w14:paraId="14361C4C">
            <w:pPr>
              <w:keepNext w:val="0"/>
              <w:keepLines w:val="0"/>
              <w:pageBreakBefore w:val="0"/>
              <w:widowControl/>
              <w:kinsoku/>
              <w:wordWrap/>
              <w:overflowPunct/>
              <w:topLinePunct w:val="0"/>
              <w:autoSpaceDE/>
              <w:autoSpaceDN/>
              <w:bidi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产品信息展示</w:t>
            </w:r>
          </w:p>
        </w:tc>
        <w:tc>
          <w:tcPr>
            <w:tcW w:w="762" w:type="dxa"/>
            <w:vAlign w:val="center"/>
          </w:tcPr>
          <w:p w14:paraId="51FC7CF6">
            <w:pPr>
              <w:keepNext w:val="0"/>
              <w:keepLines w:val="0"/>
              <w:pageBreakBefore w:val="0"/>
              <w:widowControl/>
              <w:kinsoku/>
              <w:wordWrap/>
              <w:overflowPunct/>
              <w:topLinePunct w:val="0"/>
              <w:autoSpaceDE/>
              <w:autoSpaceDN/>
              <w:bidi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4</w:t>
            </w:r>
          </w:p>
        </w:tc>
        <w:tc>
          <w:tcPr>
            <w:tcW w:w="8515" w:type="dxa"/>
            <w:vAlign w:val="center"/>
          </w:tcPr>
          <w:p w14:paraId="6529C2F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应当履行化妆品信息披露的义务，在其经营活动主页面全面、真实、准确、清晰、及时披露与化妆品注册或者备案资料一致的化妆品标签等信息。披露的化妆品标签信息应当包含其所经营化妆品标签的全部内容，其中产品名称、产品执行的标准编号应当在其产品展示页面显著位置以文字形式展示；披露的其他有关产品安全、功效宣称的信息应当与其所经营化妆品的注册或者备案资料中标签信息和功效宣称依据摘要的相关内容一致。儿童化妆品还应在产品展示页面显著位置持续公示儿童化妆品标志。</w:t>
            </w:r>
          </w:p>
          <w:p w14:paraId="507F8E8B">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eastAsia="zh-Hans"/>
              </w:rPr>
              <w:t>抽样检验</w:t>
            </w:r>
            <w:r>
              <w:rPr>
                <w:rFonts w:hint="eastAsia" w:ascii="方正仿宋_GBK" w:hAnsi="方正仿宋_GBK" w:eastAsia="方正仿宋_GBK" w:cs="方正仿宋_GBK"/>
                <w:bCs/>
                <w:kern w:val="0"/>
                <w:sz w:val="18"/>
                <w:szCs w:val="18"/>
              </w:rPr>
              <w:t>涉及检出禁用原料或者可能危害人体健康物质、儿童化妆品不符合规定等情形的，</w:t>
            </w:r>
            <w:r>
              <w:rPr>
                <w:rFonts w:hint="eastAsia" w:ascii="方正仿宋_GBK" w:hAnsi="方正仿宋_GBK" w:eastAsia="方正仿宋_GBK" w:cs="方正仿宋_GBK"/>
                <w:bCs/>
                <w:kern w:val="0"/>
                <w:sz w:val="18"/>
                <w:szCs w:val="18"/>
                <w:lang w:eastAsia="zh-Hans"/>
              </w:rPr>
              <w:t>对于同一</w:t>
            </w:r>
            <w:r>
              <w:rPr>
                <w:rFonts w:hint="eastAsia" w:ascii="方正仿宋_GBK" w:hAnsi="方正仿宋_GBK" w:eastAsia="方正仿宋_GBK" w:cs="方正仿宋_GBK"/>
                <w:bCs/>
                <w:kern w:val="0"/>
                <w:sz w:val="18"/>
                <w:szCs w:val="18"/>
              </w:rPr>
              <w:t>品种</w:t>
            </w:r>
            <w:r>
              <w:rPr>
                <w:rFonts w:hint="eastAsia" w:ascii="方正仿宋_GBK" w:hAnsi="方正仿宋_GBK" w:eastAsia="方正仿宋_GBK" w:cs="方正仿宋_GBK"/>
                <w:bCs/>
                <w:kern w:val="0"/>
                <w:sz w:val="18"/>
                <w:szCs w:val="18"/>
                <w:lang w:eastAsia="zh-Hans"/>
              </w:rPr>
              <w:t>的</w:t>
            </w:r>
            <w:r>
              <w:rPr>
                <w:rFonts w:hint="eastAsia" w:ascii="方正仿宋_GBK" w:hAnsi="方正仿宋_GBK" w:eastAsia="方正仿宋_GBK" w:cs="方正仿宋_GBK"/>
                <w:bCs/>
                <w:kern w:val="0"/>
                <w:sz w:val="18"/>
                <w:szCs w:val="18"/>
              </w:rPr>
              <w:t>其他批次产品仍继续经营的，应当以显著方式对该</w:t>
            </w:r>
            <w:r>
              <w:rPr>
                <w:rFonts w:hint="eastAsia" w:ascii="方正仿宋_GBK" w:hAnsi="方正仿宋_GBK" w:eastAsia="方正仿宋_GBK" w:cs="方正仿宋_GBK"/>
                <w:bCs/>
                <w:kern w:val="0"/>
                <w:sz w:val="18"/>
                <w:szCs w:val="18"/>
                <w:lang w:eastAsia="zh-Hans"/>
              </w:rPr>
              <w:t>化妆品</w:t>
            </w:r>
            <w:r>
              <w:rPr>
                <w:rFonts w:hint="eastAsia" w:ascii="方正仿宋_GBK" w:hAnsi="方正仿宋_GBK" w:eastAsia="方正仿宋_GBK" w:cs="方正仿宋_GBK"/>
                <w:bCs/>
                <w:kern w:val="0"/>
                <w:sz w:val="18"/>
                <w:szCs w:val="18"/>
              </w:rPr>
              <w:t>抽样检验</w:t>
            </w:r>
            <w:r>
              <w:rPr>
                <w:rFonts w:hint="eastAsia" w:ascii="方正仿宋_GBK" w:hAnsi="方正仿宋_GBK" w:eastAsia="方正仿宋_GBK" w:cs="方正仿宋_GBK"/>
                <w:bCs/>
                <w:kern w:val="0"/>
                <w:sz w:val="18"/>
                <w:szCs w:val="18"/>
                <w:lang w:eastAsia="zh-Hans"/>
              </w:rPr>
              <w:t>不符合规定的监管公开</w:t>
            </w:r>
            <w:r>
              <w:rPr>
                <w:rFonts w:hint="eastAsia" w:ascii="方正仿宋_GBK" w:hAnsi="方正仿宋_GBK" w:eastAsia="方正仿宋_GBK" w:cs="方正仿宋_GBK"/>
                <w:bCs/>
                <w:kern w:val="0"/>
                <w:sz w:val="18"/>
                <w:szCs w:val="18"/>
              </w:rPr>
              <w:t>信息或者化妆品注册人、备案人针对产品抽样检验不符合规定开展自查的</w:t>
            </w:r>
            <w:r>
              <w:rPr>
                <w:rFonts w:hint="eastAsia" w:ascii="方正仿宋_GBK" w:hAnsi="方正仿宋_GBK" w:eastAsia="方正仿宋_GBK" w:cs="方正仿宋_GBK"/>
                <w:bCs/>
                <w:kern w:val="0"/>
                <w:sz w:val="18"/>
                <w:szCs w:val="18"/>
                <w:lang w:eastAsia="zh-Hans"/>
              </w:rPr>
              <w:t>情况</w:t>
            </w:r>
            <w:r>
              <w:rPr>
                <w:rFonts w:hint="eastAsia" w:ascii="方正仿宋_GBK" w:hAnsi="方正仿宋_GBK" w:eastAsia="方正仿宋_GBK" w:cs="方正仿宋_GBK"/>
                <w:bCs/>
                <w:kern w:val="0"/>
                <w:sz w:val="18"/>
                <w:szCs w:val="18"/>
              </w:rPr>
              <w:t>报告予以公示，相关信息应当持续公示一年，供消费者选购时参考。</w:t>
            </w:r>
          </w:p>
        </w:tc>
        <w:tc>
          <w:tcPr>
            <w:tcW w:w="5549" w:type="dxa"/>
            <w:vAlign w:val="center"/>
          </w:tcPr>
          <w:p w14:paraId="33BF1ED4">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《化妆品监督管理条例》第四十一条；《化妆品生产经营监督管理办法》第四十四条；《儿童化妆品监督管理规定》第十五条；《化妆品网络经营监督管理办法》第二十一条、第二十二条</w:t>
            </w:r>
            <w:r>
              <w:rPr>
                <w:rFonts w:hint="eastAsia" w:ascii="方正仿宋_GBK" w:hAnsi="方正仿宋_GBK" w:eastAsia="方正仿宋_GBK" w:cs="方正仿宋_GBK"/>
                <w:kern w:val="0"/>
                <w:sz w:val="18"/>
                <w:szCs w:val="18"/>
              </w:rPr>
              <w:t>。</w:t>
            </w:r>
          </w:p>
        </w:tc>
      </w:tr>
      <w:tr w14:paraId="741C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5" w:type="dxa"/>
            <w:vMerge w:val="restart"/>
            <w:vAlign w:val="center"/>
          </w:tcPr>
          <w:p w14:paraId="6175043F">
            <w:pPr>
              <w:keepNext w:val="0"/>
              <w:keepLines w:val="0"/>
              <w:pageBreakBefore w:val="0"/>
              <w:widowControl/>
              <w:kinsoku/>
              <w:wordWrap/>
              <w:overflowPunct/>
              <w:topLinePunct w:val="0"/>
              <w:autoSpaceDE/>
              <w:autoSpaceDN/>
              <w:bidi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质量安全和风险控制</w:t>
            </w:r>
          </w:p>
        </w:tc>
        <w:tc>
          <w:tcPr>
            <w:tcW w:w="762" w:type="dxa"/>
            <w:vAlign w:val="center"/>
          </w:tcPr>
          <w:p w14:paraId="1337A400">
            <w:pPr>
              <w:keepNext w:val="0"/>
              <w:keepLines w:val="0"/>
              <w:pageBreakBefore w:val="0"/>
              <w:widowControl/>
              <w:kinsoku/>
              <w:wordWrap/>
              <w:overflowPunct/>
              <w:topLinePunct w:val="0"/>
              <w:autoSpaceDE/>
              <w:autoSpaceDN/>
              <w:bidi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5</w:t>
            </w:r>
          </w:p>
        </w:tc>
        <w:tc>
          <w:tcPr>
            <w:tcW w:w="8515" w:type="dxa"/>
            <w:vAlign w:val="center"/>
          </w:tcPr>
          <w:p w14:paraId="0E317C36">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应当依照法律、法规、强制性国家标准、技术规范从事生产经营活动，加强管理，诚信自律，保证化妆品质量安全。化妆品应当符合强制性国家标准。</w:t>
            </w:r>
          </w:p>
        </w:tc>
        <w:tc>
          <w:tcPr>
            <w:tcW w:w="5549" w:type="dxa"/>
            <w:vAlign w:val="center"/>
          </w:tcPr>
          <w:p w14:paraId="4B5AE862">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《化妆品监督管理条例》第六条、第二十五条</w:t>
            </w:r>
            <w:r>
              <w:rPr>
                <w:rFonts w:hint="eastAsia" w:ascii="方正仿宋_GBK" w:hAnsi="方正仿宋_GBK" w:eastAsia="方正仿宋_GBK" w:cs="方正仿宋_GBK"/>
                <w:kern w:val="0"/>
                <w:sz w:val="18"/>
                <w:szCs w:val="18"/>
              </w:rPr>
              <w:t>。</w:t>
            </w:r>
          </w:p>
        </w:tc>
      </w:tr>
      <w:tr w14:paraId="0677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765" w:type="dxa"/>
            <w:vMerge w:val="continue"/>
            <w:vAlign w:val="center"/>
          </w:tcPr>
          <w:p w14:paraId="75057C15">
            <w:pPr>
              <w:keepNext w:val="0"/>
              <w:keepLines w:val="0"/>
              <w:pageBreakBefore w:val="0"/>
              <w:widowControl/>
              <w:kinsoku/>
              <w:wordWrap/>
              <w:overflowPunct/>
              <w:topLinePunct w:val="0"/>
              <w:autoSpaceDE/>
              <w:autoSpaceDN/>
              <w:bidi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62" w:type="dxa"/>
            <w:vAlign w:val="center"/>
          </w:tcPr>
          <w:p w14:paraId="4793B6FE">
            <w:pPr>
              <w:keepNext w:val="0"/>
              <w:keepLines w:val="0"/>
              <w:pageBreakBefore w:val="0"/>
              <w:widowControl/>
              <w:kinsoku/>
              <w:wordWrap/>
              <w:overflowPunct/>
              <w:topLinePunct w:val="0"/>
              <w:autoSpaceDE/>
              <w:autoSpaceDN/>
              <w:bidi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6</w:t>
            </w:r>
          </w:p>
        </w:tc>
        <w:tc>
          <w:tcPr>
            <w:tcW w:w="8515" w:type="dxa"/>
            <w:vAlign w:val="center"/>
          </w:tcPr>
          <w:p w14:paraId="7AFE1D32">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应当积极配合化妆品电子商务平台经营者开展日常检查、监管公开信息自查等质量安全管理活动，及时、准确地向化妆品电子商务平台经营者提供相关产品信息，并配合化妆品电子商务平台经营者采取必要措施控制风险。</w:t>
            </w:r>
          </w:p>
          <w:p w14:paraId="49C80FC0">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对于经负责药品监督管理的部门抽样检验认定为不符合规定的特定批次化妆品，应当立即停止经营。</w:t>
            </w:r>
          </w:p>
        </w:tc>
        <w:tc>
          <w:tcPr>
            <w:tcW w:w="5549" w:type="dxa"/>
            <w:vAlign w:val="center"/>
          </w:tcPr>
          <w:p w14:paraId="0A54E5EF">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《化妆品网络经营监督管理办法》第二十二条</w:t>
            </w:r>
            <w:r>
              <w:rPr>
                <w:rFonts w:hint="eastAsia" w:ascii="方正仿宋_GBK" w:hAnsi="方正仿宋_GBK" w:eastAsia="方正仿宋_GBK" w:cs="方正仿宋_GBK"/>
                <w:kern w:val="0"/>
                <w:sz w:val="18"/>
                <w:szCs w:val="18"/>
              </w:rPr>
              <w:t>。</w:t>
            </w:r>
          </w:p>
        </w:tc>
      </w:tr>
      <w:tr w14:paraId="0505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65" w:type="dxa"/>
            <w:vMerge w:val="continue"/>
            <w:vAlign w:val="center"/>
          </w:tcPr>
          <w:p w14:paraId="74DB2AED">
            <w:pPr>
              <w:keepNext w:val="0"/>
              <w:keepLines w:val="0"/>
              <w:pageBreakBefore w:val="0"/>
              <w:widowControl/>
              <w:kinsoku/>
              <w:wordWrap/>
              <w:overflowPunct/>
              <w:topLinePunct w:val="0"/>
              <w:autoSpaceDE/>
              <w:autoSpaceDN/>
              <w:bidi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62" w:type="dxa"/>
            <w:vAlign w:val="center"/>
          </w:tcPr>
          <w:p w14:paraId="5F1544C7">
            <w:pPr>
              <w:keepNext w:val="0"/>
              <w:keepLines w:val="0"/>
              <w:pageBreakBefore w:val="0"/>
              <w:widowControl/>
              <w:kinsoku/>
              <w:wordWrap/>
              <w:overflowPunct/>
              <w:topLinePunct w:val="0"/>
              <w:autoSpaceDE/>
              <w:autoSpaceDN/>
              <w:bidi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7</w:t>
            </w:r>
          </w:p>
        </w:tc>
        <w:tc>
          <w:tcPr>
            <w:tcW w:w="8515" w:type="dxa"/>
            <w:vAlign w:val="center"/>
          </w:tcPr>
          <w:p w14:paraId="5A16D6A9">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问题化妆品及时处置。（1）</w:t>
            </w:r>
            <w:r>
              <w:rPr>
                <w:rFonts w:hint="eastAsia" w:ascii="方正仿宋_GBK" w:hAnsi="方正仿宋_GBK" w:eastAsia="方正仿宋_GBK" w:cs="方正仿宋_GBK"/>
                <w:bCs/>
                <w:kern w:val="0"/>
                <w:sz w:val="18"/>
                <w:szCs w:val="18"/>
              </w:rPr>
              <w:t>应当关注所经营化妆品涉及产品质量安全的监管公开信息，</w:t>
            </w:r>
            <w:r>
              <w:rPr>
                <w:rFonts w:hint="eastAsia" w:ascii="方正仿宋_GBK" w:hAnsi="方正仿宋_GBK" w:eastAsia="方正仿宋_GBK" w:cs="方正仿宋_GBK"/>
                <w:bCs/>
                <w:kern w:val="0"/>
                <w:sz w:val="18"/>
                <w:szCs w:val="18"/>
                <w:lang w:bidi="ar"/>
              </w:rPr>
              <w:t>（2）监管部门通告或责令下架的化妆品以及化妆品经营者得知或者发现其经营的化妆品存在质量缺陷或者其他问题，可能危害人体健康的，应当立即停止经营并采取措施整改；（3）化妆品注册人、备案人实施召回的，化妆品经营者应当予以配合。</w:t>
            </w:r>
          </w:p>
        </w:tc>
        <w:tc>
          <w:tcPr>
            <w:tcW w:w="5549" w:type="dxa"/>
            <w:vAlign w:val="center"/>
          </w:tcPr>
          <w:p w14:paraId="167EE941">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《化妆品监督管理条例》第四十四条；《化妆品生产经营监督管理办法》第五十七条；</w:t>
            </w:r>
            <w:r>
              <w:rPr>
                <w:rFonts w:hint="eastAsia" w:ascii="方正仿宋_GBK" w:hAnsi="方正仿宋_GBK" w:eastAsia="方正仿宋_GBK" w:cs="方正仿宋_GBK"/>
                <w:bCs/>
                <w:kern w:val="0"/>
                <w:sz w:val="18"/>
                <w:szCs w:val="18"/>
              </w:rPr>
              <w:t>《化妆品网络经营监督管理办法》第二十二条</w:t>
            </w:r>
            <w:r>
              <w:rPr>
                <w:rFonts w:hint="eastAsia" w:ascii="方正仿宋_GBK" w:hAnsi="方正仿宋_GBK" w:eastAsia="方正仿宋_GBK" w:cs="方正仿宋_GBK"/>
                <w:kern w:val="0"/>
                <w:sz w:val="18"/>
                <w:szCs w:val="18"/>
              </w:rPr>
              <w:t>。</w:t>
            </w:r>
          </w:p>
        </w:tc>
      </w:tr>
      <w:tr w14:paraId="2293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65" w:type="dxa"/>
            <w:vAlign w:val="center"/>
          </w:tcPr>
          <w:p w14:paraId="7E464A05">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质量安全和风险控制</w:t>
            </w:r>
          </w:p>
        </w:tc>
        <w:tc>
          <w:tcPr>
            <w:tcW w:w="762" w:type="dxa"/>
            <w:vAlign w:val="center"/>
          </w:tcPr>
          <w:p w14:paraId="75955488">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8</w:t>
            </w:r>
          </w:p>
        </w:tc>
        <w:tc>
          <w:tcPr>
            <w:tcW w:w="8515" w:type="dxa"/>
            <w:vAlign w:val="center"/>
          </w:tcPr>
          <w:p w14:paraId="19A7ECA1">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抽检不合格产品及时处置。</w:t>
            </w:r>
          </w:p>
          <w:p w14:paraId="43A3EB9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（1）对抽检不合格产品应停止经营、使用，并按规定开展自查整改；</w:t>
            </w:r>
          </w:p>
          <w:p w14:paraId="25465A0F">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（2）对检验结论有异议的，依法提出复检申请。</w:t>
            </w:r>
          </w:p>
        </w:tc>
        <w:tc>
          <w:tcPr>
            <w:tcW w:w="5549" w:type="dxa"/>
            <w:vAlign w:val="center"/>
          </w:tcPr>
          <w:p w14:paraId="5C99795A">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《化妆品监督管理条例》第四十六条、第五十一条；《化妆品生产经营监督管理办法》第五十三条</w:t>
            </w:r>
            <w:r>
              <w:rPr>
                <w:rFonts w:hint="eastAsia" w:ascii="方正仿宋_GBK" w:hAnsi="方正仿宋_GBK" w:eastAsia="方正仿宋_GBK" w:cs="方正仿宋_GBK"/>
                <w:kern w:val="0"/>
                <w:sz w:val="18"/>
                <w:szCs w:val="18"/>
              </w:rPr>
              <w:t>。</w:t>
            </w:r>
          </w:p>
        </w:tc>
      </w:tr>
      <w:tr w14:paraId="2583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5" w:type="dxa"/>
            <w:vAlign w:val="center"/>
          </w:tcPr>
          <w:p w14:paraId="1B0BA1F2">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标签管理</w:t>
            </w:r>
          </w:p>
        </w:tc>
        <w:tc>
          <w:tcPr>
            <w:tcW w:w="762" w:type="dxa"/>
            <w:vAlign w:val="center"/>
          </w:tcPr>
          <w:p w14:paraId="49799271">
            <w:pPr>
              <w:keepNext w:val="0"/>
              <w:keepLines w:val="0"/>
              <w:pageBreakBefore w:val="0"/>
              <w:widowControl/>
              <w:kinsoku/>
              <w:wordWrap/>
              <w:overflowPunct/>
              <w:topLinePunct w:val="0"/>
              <w:autoSpaceDE/>
              <w:autoSpaceDN/>
              <w:bidi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9</w:t>
            </w:r>
          </w:p>
        </w:tc>
        <w:tc>
          <w:tcPr>
            <w:tcW w:w="8515" w:type="dxa"/>
            <w:vAlign w:val="center"/>
          </w:tcPr>
          <w:p w14:paraId="36B43F2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依法查验标签，标签应当合法合规。</w:t>
            </w:r>
          </w:p>
          <w:p w14:paraId="0D3C8876">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（1）化妆品应有中文标签，内容真实、完整、准确。</w:t>
            </w:r>
          </w:p>
          <w:p w14:paraId="13C395D7">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（2）最小销售单元应当有标签。</w:t>
            </w:r>
          </w:p>
          <w:p w14:paraId="01D6D2CD">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3）标签应当应当至少包括以下内容:产品中文名称、特殊化妆品注册证书编号；注册人、备案人的名称、地址，注册人或者备案人为境外企业的，应当同时标注境内责任人的名称、地址；生产企业的名称、地址，国产化妆品应当同时标注生产企业生产许可证编号；产品执行的标准编号；全成分；净含量；使用期限；使用方法；必要的安全警示用语；法律、行政法规和强制性国家标准规定应当标注的其他内容。</w:t>
            </w:r>
          </w:p>
          <w:p w14:paraId="658B60F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（4）标签禁止标注下列内容：明示或者暗示具有医疗作用的内容；虚假或者引人误解的内容；违反社会公序良俗的内容；法律、行政法规禁止标注的其他内容。</w:t>
            </w:r>
          </w:p>
          <w:p w14:paraId="30AB562E">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（5）以免费试用、赠予、兑换等形式向消费者提供的化妆品，其标签也必须符合要求；</w:t>
            </w:r>
          </w:p>
          <w:p w14:paraId="6E053812">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6）化妆品净含量不大于15g或者15mL的小规格包装产品，仅需在销售包装可视面标注产品中文名称、特殊化妆品注册证书编号、注册人或者备案人的名称、净含量、使用期限等信息，其他应当标注的信息可以标注在随附于产品的说明书中。具有包装盒的小规格包装产品，还应当同时在直接接触内容物的包装容器上标注产品中文名称和使用期限。</w:t>
            </w:r>
          </w:p>
          <w:p w14:paraId="10B2740D">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（7）</w:t>
            </w:r>
            <w:r>
              <w:rPr>
                <w:rFonts w:hint="eastAsia" w:ascii="方正仿宋_GBK" w:hAnsi="方正仿宋_GBK" w:eastAsia="方正仿宋_GBK" w:cs="方正仿宋_GBK"/>
                <w:bCs/>
                <w:kern w:val="0"/>
                <w:sz w:val="18"/>
                <w:szCs w:val="18"/>
              </w:rPr>
              <w:t>儿童化妆品应按照要求在销售包装主要展示版面左上方标注儿童化妆品标志（即“小金盾”标志）。</w:t>
            </w:r>
          </w:p>
          <w:p w14:paraId="43CA8B54">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（8）进口化妆品（含参照进口化妆品管理）可以直接使用中文标签，也可以加贴中文标签；加贴中文标签的，中文标签内容应当与原标签内容一致。</w:t>
            </w:r>
          </w:p>
        </w:tc>
        <w:tc>
          <w:tcPr>
            <w:tcW w:w="5549" w:type="dxa"/>
            <w:vAlign w:val="center"/>
          </w:tcPr>
          <w:p w14:paraId="7A31EC54">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监督管理条例》第三十五条、第三十六条、第三十七条；《化妆品生产经营监督管理办法》第三十五条、第三十六条、第四十九条；《儿童化妆品监督管理规定》第六条；《化妆品标签管理办法》第五条、第六条、</w:t>
            </w:r>
            <w:r>
              <w:rPr>
                <w:rFonts w:hint="eastAsia" w:ascii="方正仿宋_GBK" w:hAnsi="方正仿宋_GBK" w:eastAsia="方正仿宋_GBK" w:cs="方正仿宋_GBK"/>
                <w:bCs/>
                <w:kern w:val="0"/>
                <w:sz w:val="18"/>
                <w:szCs w:val="18"/>
              </w:rPr>
              <w:t>第七条、第十七条</w:t>
            </w:r>
            <w:r>
              <w:rPr>
                <w:rFonts w:hint="eastAsia" w:ascii="方正仿宋_GBK" w:hAnsi="方正仿宋_GBK" w:eastAsia="方正仿宋_GBK" w:cs="方正仿宋_GBK"/>
                <w:kern w:val="0"/>
                <w:sz w:val="18"/>
                <w:szCs w:val="18"/>
              </w:rPr>
              <w:t>。</w:t>
            </w:r>
          </w:p>
        </w:tc>
      </w:tr>
      <w:tr w14:paraId="51D6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65" w:type="dxa"/>
            <w:vAlign w:val="center"/>
          </w:tcPr>
          <w:p w14:paraId="7D62E495">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贮存运输</w:t>
            </w:r>
          </w:p>
        </w:tc>
        <w:tc>
          <w:tcPr>
            <w:tcW w:w="762" w:type="dxa"/>
            <w:vAlign w:val="center"/>
          </w:tcPr>
          <w:p w14:paraId="048E5C3F">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10</w:t>
            </w:r>
          </w:p>
        </w:tc>
        <w:tc>
          <w:tcPr>
            <w:tcW w:w="8515" w:type="dxa"/>
            <w:vAlign w:val="center"/>
          </w:tcPr>
          <w:p w14:paraId="00266A2F">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应当依照有关法律、法规的规定和化妆品标签标示的要求贮存、运输化妆品，定期检查并及时处理变质或者超过使用期限的化妆品。</w:t>
            </w:r>
          </w:p>
        </w:tc>
        <w:tc>
          <w:tcPr>
            <w:tcW w:w="5549" w:type="dxa"/>
            <w:vAlign w:val="center"/>
          </w:tcPr>
          <w:p w14:paraId="316CCCEC">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《化妆品监督管理条例》第三十九条；《化妆品网络经营监督管理办法》第二十四条</w:t>
            </w:r>
            <w:r>
              <w:rPr>
                <w:rFonts w:hint="eastAsia" w:ascii="方正仿宋_GBK" w:hAnsi="方正仿宋_GBK" w:eastAsia="方正仿宋_GBK" w:cs="方正仿宋_GBK"/>
                <w:kern w:val="0"/>
                <w:sz w:val="18"/>
                <w:szCs w:val="18"/>
              </w:rPr>
              <w:t>。</w:t>
            </w:r>
          </w:p>
        </w:tc>
      </w:tr>
      <w:tr w14:paraId="6BB9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65" w:type="dxa"/>
            <w:vAlign w:val="center"/>
          </w:tcPr>
          <w:p w14:paraId="6166DF4A">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广告宣传</w:t>
            </w:r>
          </w:p>
        </w:tc>
        <w:tc>
          <w:tcPr>
            <w:tcW w:w="762" w:type="dxa"/>
            <w:vAlign w:val="center"/>
          </w:tcPr>
          <w:p w14:paraId="487B3916">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11</w:t>
            </w:r>
          </w:p>
        </w:tc>
        <w:tc>
          <w:tcPr>
            <w:tcW w:w="8515" w:type="dxa"/>
            <w:vAlign w:val="center"/>
          </w:tcPr>
          <w:p w14:paraId="4631B384">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化妆品广告真实、合法。</w:t>
            </w:r>
            <w:r>
              <w:rPr>
                <w:rFonts w:hint="eastAsia" w:ascii="方正仿宋_GBK" w:hAnsi="方正仿宋_GBK" w:eastAsia="方正仿宋_GBK" w:cs="方正仿宋_GBK"/>
                <w:bCs/>
                <w:kern w:val="0"/>
                <w:sz w:val="18"/>
                <w:szCs w:val="18"/>
              </w:rPr>
              <w:t>化妆品广告不得明示或者暗示产品具有医疗作用，不得含有虚假或者引人误解的内容，不得欺骗、误导消费者。普通化妆品不得宣称特殊化妆品相关功效</w:t>
            </w:r>
            <w:r>
              <w:rPr>
                <w:rFonts w:hint="eastAsia" w:ascii="方正仿宋_GBK" w:hAnsi="方正仿宋_GBK" w:eastAsia="方正仿宋_GBK" w:cs="方正仿宋_GBK"/>
                <w:bCs/>
                <w:kern w:val="0"/>
                <w:sz w:val="18"/>
                <w:szCs w:val="18"/>
                <w:lang w:bidi="ar"/>
              </w:rPr>
              <w:t>。</w:t>
            </w:r>
          </w:p>
        </w:tc>
        <w:tc>
          <w:tcPr>
            <w:tcW w:w="5549" w:type="dxa"/>
            <w:vAlign w:val="center"/>
          </w:tcPr>
          <w:p w14:paraId="094E4839">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《化妆品监督管理条例》第四十三条；《化妆品生产经营监督管理办法》第三十八条</w:t>
            </w:r>
            <w:r>
              <w:rPr>
                <w:rFonts w:hint="eastAsia" w:ascii="方正仿宋_GBK" w:hAnsi="方正仿宋_GBK" w:eastAsia="方正仿宋_GBK" w:cs="方正仿宋_GBK"/>
                <w:kern w:val="0"/>
                <w:sz w:val="18"/>
                <w:szCs w:val="18"/>
              </w:rPr>
              <w:t>。</w:t>
            </w:r>
          </w:p>
        </w:tc>
      </w:tr>
      <w:tr w14:paraId="7895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5" w:type="dxa"/>
            <w:vAlign w:val="center"/>
          </w:tcPr>
          <w:p w14:paraId="4C4359B8">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不良反应</w:t>
            </w:r>
          </w:p>
        </w:tc>
        <w:tc>
          <w:tcPr>
            <w:tcW w:w="762" w:type="dxa"/>
            <w:vAlign w:val="center"/>
          </w:tcPr>
          <w:p w14:paraId="331ABB58">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12</w:t>
            </w:r>
          </w:p>
        </w:tc>
        <w:tc>
          <w:tcPr>
            <w:tcW w:w="8515" w:type="dxa"/>
            <w:vAlign w:val="center"/>
          </w:tcPr>
          <w:p w14:paraId="31E5080A">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化妆品不良反应报告遵循可疑即报的原则。发现可能与使用化妆品有关的不良反应的，应当报告化妆品不良反应监测机构。应当配合化妆品不良反应监测机构、负责药品监督管理的部门开展化妆品不良反应调查。</w:t>
            </w:r>
            <w:r>
              <w:rPr>
                <w:rFonts w:hint="eastAsia" w:ascii="方正仿宋_GBK" w:hAnsi="方正仿宋_GBK" w:eastAsia="方正仿宋_GBK" w:cs="方正仿宋_GBK"/>
                <w:bCs/>
                <w:kern w:val="0"/>
                <w:sz w:val="18"/>
                <w:szCs w:val="18"/>
                <w:lang w:bidi="ar"/>
              </w:rPr>
              <w:t>依法开展不良反应报告收集和安全隐患产品处置。</w:t>
            </w:r>
          </w:p>
        </w:tc>
        <w:tc>
          <w:tcPr>
            <w:tcW w:w="5549" w:type="dxa"/>
            <w:vAlign w:val="center"/>
          </w:tcPr>
          <w:p w14:paraId="2E249C93">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《化妆品监督管理条例》第五十二条；《化妆品生产经营监督管理办法》第五十五条；《化妆品不良反应监测管理办法》第四条、第十四条、第十八条</w:t>
            </w:r>
            <w:r>
              <w:rPr>
                <w:rFonts w:hint="eastAsia" w:ascii="方正仿宋_GBK" w:hAnsi="方正仿宋_GBK" w:eastAsia="方正仿宋_GBK" w:cs="方正仿宋_GBK"/>
                <w:kern w:val="0"/>
                <w:sz w:val="18"/>
                <w:szCs w:val="18"/>
              </w:rPr>
              <w:t>。</w:t>
            </w:r>
          </w:p>
        </w:tc>
      </w:tr>
      <w:tr w14:paraId="0FA3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65" w:type="dxa"/>
            <w:vMerge w:val="restart"/>
            <w:vAlign w:val="center"/>
          </w:tcPr>
          <w:p w14:paraId="4D3CD717">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行业禁止</w:t>
            </w:r>
          </w:p>
        </w:tc>
        <w:tc>
          <w:tcPr>
            <w:tcW w:w="762" w:type="dxa"/>
            <w:vAlign w:val="center"/>
          </w:tcPr>
          <w:p w14:paraId="63B8206C">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13</w:t>
            </w:r>
          </w:p>
        </w:tc>
        <w:tc>
          <w:tcPr>
            <w:tcW w:w="8515" w:type="dxa"/>
            <w:vAlign w:val="center"/>
          </w:tcPr>
          <w:p w14:paraId="75EDBB3C">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禁止自行配制化妆品。</w:t>
            </w:r>
          </w:p>
        </w:tc>
        <w:tc>
          <w:tcPr>
            <w:tcW w:w="5549" w:type="dxa"/>
            <w:vAlign w:val="center"/>
          </w:tcPr>
          <w:p w14:paraId="170EB99C">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《化妆品监督管理条例》第三十八条；《化妆品生产经营监督管理办法》第六十三条</w:t>
            </w:r>
            <w:r>
              <w:rPr>
                <w:rFonts w:hint="eastAsia" w:ascii="方正仿宋_GBK" w:hAnsi="方正仿宋_GBK" w:eastAsia="方正仿宋_GBK" w:cs="方正仿宋_GBK"/>
                <w:kern w:val="0"/>
                <w:sz w:val="18"/>
                <w:szCs w:val="18"/>
              </w:rPr>
              <w:t>。</w:t>
            </w:r>
          </w:p>
        </w:tc>
      </w:tr>
      <w:tr w14:paraId="363D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65" w:type="dxa"/>
            <w:vMerge w:val="continue"/>
            <w:vAlign w:val="center"/>
          </w:tcPr>
          <w:p w14:paraId="73DB0AA6">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62" w:type="dxa"/>
            <w:vAlign w:val="center"/>
          </w:tcPr>
          <w:p w14:paraId="084F22CA">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14</w:t>
            </w:r>
          </w:p>
        </w:tc>
        <w:tc>
          <w:tcPr>
            <w:tcW w:w="8515" w:type="dxa"/>
            <w:vAlign w:val="center"/>
          </w:tcPr>
          <w:p w14:paraId="66F9CC94">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禁止经营变质、超过使用期限的化妆品。</w:t>
            </w:r>
          </w:p>
        </w:tc>
        <w:tc>
          <w:tcPr>
            <w:tcW w:w="5549" w:type="dxa"/>
            <w:vAlign w:val="center"/>
          </w:tcPr>
          <w:p w14:paraId="3CD3B83E">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《化妆品监督管理条例》第三十九条、第六十条</w:t>
            </w:r>
            <w:r>
              <w:rPr>
                <w:rFonts w:hint="eastAsia" w:ascii="方正仿宋_GBK" w:hAnsi="方正仿宋_GBK" w:eastAsia="方正仿宋_GBK" w:cs="方正仿宋_GBK"/>
                <w:kern w:val="0"/>
                <w:sz w:val="18"/>
                <w:szCs w:val="18"/>
              </w:rPr>
              <w:t>。</w:t>
            </w:r>
          </w:p>
        </w:tc>
      </w:tr>
      <w:tr w14:paraId="0CBD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65" w:type="dxa"/>
            <w:vMerge w:val="continue"/>
            <w:vAlign w:val="center"/>
          </w:tcPr>
          <w:p w14:paraId="59CA6CBC">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62" w:type="dxa"/>
            <w:vAlign w:val="center"/>
          </w:tcPr>
          <w:p w14:paraId="520957C8">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15</w:t>
            </w:r>
          </w:p>
        </w:tc>
        <w:tc>
          <w:tcPr>
            <w:tcW w:w="8515" w:type="dxa"/>
            <w:vAlign w:val="center"/>
          </w:tcPr>
          <w:p w14:paraId="1990AAE8">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禁止更改化妆品使用期限。</w:t>
            </w:r>
          </w:p>
        </w:tc>
        <w:tc>
          <w:tcPr>
            <w:tcW w:w="5549" w:type="dxa"/>
            <w:vAlign w:val="center"/>
          </w:tcPr>
          <w:p w14:paraId="058227F0">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《化妆品监督管理条例》第六十条</w:t>
            </w:r>
            <w:r>
              <w:rPr>
                <w:rFonts w:hint="eastAsia" w:ascii="方正仿宋_GBK" w:hAnsi="方正仿宋_GBK" w:eastAsia="方正仿宋_GBK" w:cs="方正仿宋_GBK"/>
                <w:kern w:val="0"/>
                <w:sz w:val="18"/>
                <w:szCs w:val="18"/>
              </w:rPr>
              <w:t>。</w:t>
            </w:r>
          </w:p>
        </w:tc>
      </w:tr>
      <w:tr w14:paraId="4C9F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vAlign w:val="center"/>
          </w:tcPr>
          <w:p w14:paraId="56E767AC">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62" w:type="dxa"/>
            <w:vAlign w:val="center"/>
          </w:tcPr>
          <w:p w14:paraId="7768C424">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16</w:t>
            </w:r>
          </w:p>
        </w:tc>
        <w:tc>
          <w:tcPr>
            <w:tcW w:w="8515" w:type="dxa"/>
            <w:vAlign w:val="center"/>
          </w:tcPr>
          <w:p w14:paraId="7F3F986F">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有法律法规规定禁止从业的人员，不得从事化妆品经营活动。</w:t>
            </w:r>
          </w:p>
        </w:tc>
        <w:tc>
          <w:tcPr>
            <w:tcW w:w="5549" w:type="dxa"/>
            <w:vAlign w:val="center"/>
          </w:tcPr>
          <w:p w14:paraId="3A1E2654">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《化妆品监督管理条例》第七十三条</w:t>
            </w:r>
            <w:r>
              <w:rPr>
                <w:rFonts w:hint="eastAsia" w:ascii="方正仿宋_GBK" w:hAnsi="方正仿宋_GBK" w:eastAsia="方正仿宋_GBK" w:cs="方正仿宋_GBK"/>
                <w:kern w:val="0"/>
                <w:sz w:val="18"/>
                <w:szCs w:val="18"/>
              </w:rPr>
              <w:t>。</w:t>
            </w:r>
          </w:p>
        </w:tc>
      </w:tr>
      <w:tr w14:paraId="6161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restart"/>
            <w:vAlign w:val="center"/>
          </w:tcPr>
          <w:p w14:paraId="4A6C6CC5">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其他事项</w:t>
            </w:r>
          </w:p>
        </w:tc>
        <w:tc>
          <w:tcPr>
            <w:tcW w:w="762" w:type="dxa"/>
            <w:vAlign w:val="center"/>
          </w:tcPr>
          <w:p w14:paraId="24471385">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17</w:t>
            </w:r>
          </w:p>
        </w:tc>
        <w:tc>
          <w:tcPr>
            <w:tcW w:w="8515" w:type="dxa"/>
            <w:vAlign w:val="center"/>
          </w:tcPr>
          <w:p w14:paraId="4C01B36C">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依法配合监督检查。</w:t>
            </w:r>
          </w:p>
        </w:tc>
        <w:tc>
          <w:tcPr>
            <w:tcW w:w="5549" w:type="dxa"/>
            <w:vAlign w:val="center"/>
          </w:tcPr>
          <w:p w14:paraId="174E0C08">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《化妆品监督管理条例》第四十七条、第七十四条</w:t>
            </w:r>
            <w:r>
              <w:rPr>
                <w:rFonts w:hint="eastAsia" w:ascii="方正仿宋_GBK" w:hAnsi="方正仿宋_GBK" w:eastAsia="方正仿宋_GBK" w:cs="方正仿宋_GBK"/>
                <w:kern w:val="0"/>
                <w:sz w:val="18"/>
                <w:szCs w:val="18"/>
              </w:rPr>
              <w:t>。</w:t>
            </w:r>
          </w:p>
        </w:tc>
      </w:tr>
      <w:tr w14:paraId="6102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65" w:type="dxa"/>
            <w:vMerge w:val="continue"/>
            <w:vAlign w:val="center"/>
          </w:tcPr>
          <w:p w14:paraId="03656ACA">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62" w:type="dxa"/>
            <w:vAlign w:val="center"/>
          </w:tcPr>
          <w:p w14:paraId="4CF198EB">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18</w:t>
            </w:r>
          </w:p>
        </w:tc>
        <w:tc>
          <w:tcPr>
            <w:tcW w:w="8515" w:type="dxa"/>
            <w:vAlign w:val="center"/>
          </w:tcPr>
          <w:p w14:paraId="5A048C86">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依法保护消费者合法权益。</w:t>
            </w:r>
          </w:p>
        </w:tc>
        <w:tc>
          <w:tcPr>
            <w:tcW w:w="5549" w:type="dxa"/>
            <w:vAlign w:val="center"/>
          </w:tcPr>
          <w:p w14:paraId="7AE4AAC0">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《化妆品监督管理条例》第八条、第七十六条</w:t>
            </w:r>
            <w:r>
              <w:rPr>
                <w:rFonts w:hint="eastAsia" w:ascii="方正仿宋_GBK" w:hAnsi="方正仿宋_GBK" w:eastAsia="方正仿宋_GBK" w:cs="方正仿宋_GBK"/>
                <w:kern w:val="0"/>
                <w:sz w:val="18"/>
                <w:szCs w:val="18"/>
              </w:rPr>
              <w:t>。</w:t>
            </w:r>
          </w:p>
        </w:tc>
      </w:tr>
      <w:tr w14:paraId="1C19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65" w:type="dxa"/>
            <w:vMerge w:val="restart"/>
            <w:vAlign w:val="center"/>
          </w:tcPr>
          <w:p w14:paraId="4366CCDF">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鼓励内容</w:t>
            </w:r>
          </w:p>
        </w:tc>
        <w:tc>
          <w:tcPr>
            <w:tcW w:w="762" w:type="dxa"/>
            <w:vAlign w:val="center"/>
          </w:tcPr>
          <w:p w14:paraId="3200500E">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19</w:t>
            </w:r>
          </w:p>
        </w:tc>
        <w:tc>
          <w:tcPr>
            <w:tcW w:w="8515" w:type="dxa"/>
            <w:vAlign w:val="center"/>
          </w:tcPr>
          <w:p w14:paraId="78D4B411">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sz w:val="18"/>
                <w:szCs w:val="18"/>
              </w:rPr>
              <w:t>鼓励展示所经营化妆品的特殊化妆品注册</w:t>
            </w:r>
            <w:r>
              <w:rPr>
                <w:rFonts w:hint="eastAsia" w:ascii="方正仿宋_GBK" w:hAnsi="方正仿宋_GBK" w:eastAsia="方正仿宋_GBK" w:cs="方正仿宋_GBK"/>
                <w:bCs/>
                <w:sz w:val="18"/>
                <w:szCs w:val="18"/>
                <w:lang w:val="en"/>
              </w:rPr>
              <w:t>证</w:t>
            </w:r>
            <w:r>
              <w:rPr>
                <w:rFonts w:hint="eastAsia" w:ascii="方正仿宋_GBK" w:hAnsi="方正仿宋_GBK" w:eastAsia="方正仿宋_GBK" w:cs="方正仿宋_GBK"/>
                <w:bCs/>
                <w:sz w:val="18"/>
                <w:szCs w:val="18"/>
              </w:rPr>
              <w:t>或者普通化妆品备案</w:t>
            </w:r>
            <w:r>
              <w:rPr>
                <w:rFonts w:hint="eastAsia" w:ascii="方正仿宋_GBK" w:hAnsi="方正仿宋_GBK" w:eastAsia="方正仿宋_GBK" w:cs="方正仿宋_GBK"/>
                <w:bCs/>
                <w:sz w:val="18"/>
                <w:szCs w:val="18"/>
                <w:lang w:val="en"/>
              </w:rPr>
              <w:t>信息。</w:t>
            </w:r>
          </w:p>
        </w:tc>
        <w:tc>
          <w:tcPr>
            <w:tcW w:w="5549" w:type="dxa"/>
            <w:vAlign w:val="center"/>
          </w:tcPr>
          <w:p w14:paraId="34542CD3">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《化妆品网络经营监督管理办法》第二十一条</w:t>
            </w:r>
            <w:r>
              <w:rPr>
                <w:rFonts w:hint="eastAsia" w:ascii="方正仿宋_GBK" w:hAnsi="方正仿宋_GBK" w:eastAsia="方正仿宋_GBK" w:cs="方正仿宋_GBK"/>
                <w:kern w:val="0"/>
                <w:sz w:val="18"/>
                <w:szCs w:val="18"/>
              </w:rPr>
              <w:t>。</w:t>
            </w:r>
          </w:p>
        </w:tc>
      </w:tr>
      <w:tr w14:paraId="26C5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5" w:type="dxa"/>
            <w:vMerge w:val="continue"/>
            <w:vAlign w:val="center"/>
          </w:tcPr>
          <w:p w14:paraId="56FDEC30">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62" w:type="dxa"/>
            <w:vAlign w:val="center"/>
          </w:tcPr>
          <w:p w14:paraId="5973FA63">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20</w:t>
            </w:r>
          </w:p>
        </w:tc>
        <w:tc>
          <w:tcPr>
            <w:tcW w:w="8515" w:type="dxa"/>
            <w:vAlign w:val="center"/>
          </w:tcPr>
          <w:p w14:paraId="642488A8">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鼓励化妆品经营者采用信息化手段采集、保存经营信息，建立产品销售记录等有效措施确保产品可追溯。</w:t>
            </w:r>
          </w:p>
        </w:tc>
        <w:tc>
          <w:tcPr>
            <w:tcW w:w="5549" w:type="dxa"/>
            <w:vAlign w:val="center"/>
          </w:tcPr>
          <w:p w14:paraId="7A4D8BE2">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《化妆品监督管理条例》第九条；《化妆品生产经营监督管理办法》第六条</w:t>
            </w:r>
            <w:r>
              <w:rPr>
                <w:rFonts w:hint="eastAsia" w:ascii="方正仿宋_GBK" w:hAnsi="方正仿宋_GBK" w:eastAsia="方正仿宋_GBK" w:cs="方正仿宋_GBK"/>
                <w:kern w:val="0"/>
                <w:sz w:val="18"/>
                <w:szCs w:val="18"/>
              </w:rPr>
              <w:t>。</w:t>
            </w:r>
          </w:p>
        </w:tc>
      </w:tr>
      <w:tr w14:paraId="0A21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65" w:type="dxa"/>
            <w:vMerge w:val="continue"/>
            <w:vAlign w:val="center"/>
          </w:tcPr>
          <w:p w14:paraId="0F2A1D39">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62" w:type="dxa"/>
            <w:vAlign w:val="center"/>
          </w:tcPr>
          <w:p w14:paraId="78C9C5A7">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21</w:t>
            </w:r>
          </w:p>
        </w:tc>
        <w:tc>
          <w:tcPr>
            <w:tcW w:w="8515" w:type="dxa"/>
            <w:vAlign w:val="center"/>
          </w:tcPr>
          <w:p w14:paraId="3B620F57">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鼓励化妆品经营者分区陈列儿童化妆品，在销售区域公示儿童化妆品标志。</w:t>
            </w:r>
          </w:p>
        </w:tc>
        <w:tc>
          <w:tcPr>
            <w:tcW w:w="5549" w:type="dxa"/>
            <w:vAlign w:val="center"/>
          </w:tcPr>
          <w:p w14:paraId="657AA492">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《儿童化妆品监督管理规定》第十四条</w:t>
            </w:r>
            <w:r>
              <w:rPr>
                <w:rFonts w:hint="eastAsia" w:ascii="方正仿宋_GBK" w:hAnsi="方正仿宋_GBK" w:eastAsia="方正仿宋_GBK" w:cs="方正仿宋_GBK"/>
                <w:kern w:val="0"/>
                <w:sz w:val="18"/>
                <w:szCs w:val="18"/>
              </w:rPr>
              <w:t>。</w:t>
            </w:r>
          </w:p>
        </w:tc>
      </w:tr>
    </w:tbl>
    <w:p w14:paraId="64A4C038">
      <w:pPr>
        <w:keepNext w:val="0"/>
        <w:keepLines w:val="0"/>
        <w:pageBreakBefore w:val="0"/>
        <w:widowControl w:val="0"/>
        <w:kinsoku/>
        <w:wordWrap/>
        <w:overflowPunct/>
        <w:topLinePunct w:val="0"/>
        <w:autoSpaceDE/>
        <w:autoSpaceDN/>
        <w:bidi w:val="0"/>
        <w:adjustRightInd/>
        <w:snapToGrid/>
        <w:spacing w:line="60" w:lineRule="exact"/>
        <w:ind w:left="0" w:leftChars="0" w:right="0" w:rightChars="0" w:firstLine="0" w:firstLineChars="0"/>
        <w:jc w:val="both"/>
        <w:textAlignment w:val="auto"/>
        <w:outlineLvl w:val="9"/>
        <w:rPr>
          <w:rFonts w:ascii="Times New Roman" w:hAnsi="Times New Roman"/>
        </w:rPr>
      </w:pPr>
    </w:p>
    <w:tbl>
      <w:tblPr>
        <w:tblStyle w:val="9"/>
        <w:tblW w:w="15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762"/>
        <w:gridCol w:w="8515"/>
        <w:gridCol w:w="5576"/>
      </w:tblGrid>
      <w:tr w14:paraId="7187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jc w:val="center"/>
        </w:trPr>
        <w:tc>
          <w:tcPr>
            <w:tcW w:w="791" w:type="dxa"/>
            <w:vAlign w:val="center"/>
          </w:tcPr>
          <w:p w14:paraId="75A42D3D">
            <w:pPr>
              <w:widowControl/>
              <w:spacing w:line="400" w:lineRule="exact"/>
              <w:jc w:val="center"/>
              <w:rPr>
                <w:rFonts w:eastAsia="方正黑体_GBK" w:cs="宋体"/>
                <w:kern w:val="0"/>
                <w:sz w:val="18"/>
                <w:szCs w:val="18"/>
              </w:rPr>
            </w:pPr>
            <w:r>
              <w:rPr>
                <w:rFonts w:hint="eastAsia" w:eastAsia="方正黑体_GBK" w:cs="宋体"/>
                <w:kern w:val="0"/>
                <w:sz w:val="18"/>
                <w:szCs w:val="18"/>
              </w:rPr>
              <w:t>表21</w:t>
            </w:r>
          </w:p>
        </w:tc>
        <w:tc>
          <w:tcPr>
            <w:tcW w:w="14853" w:type="dxa"/>
            <w:gridSpan w:val="3"/>
            <w:vAlign w:val="center"/>
          </w:tcPr>
          <w:p w14:paraId="5C235420">
            <w:pPr>
              <w:widowControl/>
              <w:spacing w:line="400" w:lineRule="exact"/>
              <w:jc w:val="center"/>
              <w:rPr>
                <w:rFonts w:eastAsia="方正黑体_GBK" w:cs="宋体"/>
                <w:bCs/>
                <w:kern w:val="0"/>
                <w:sz w:val="18"/>
                <w:szCs w:val="18"/>
              </w:rPr>
            </w:pPr>
            <w:r>
              <w:rPr>
                <w:rFonts w:hint="eastAsia" w:eastAsia="方正黑体_GBK" w:cs="宋体"/>
                <w:bCs/>
                <w:kern w:val="0"/>
                <w:sz w:val="18"/>
                <w:szCs w:val="18"/>
              </w:rPr>
              <w:t>化妆品集中交易市场开办者、展销会举办者主体责任清单</w:t>
            </w:r>
          </w:p>
        </w:tc>
      </w:tr>
      <w:tr w14:paraId="1CC8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Header/>
          <w:jc w:val="center"/>
        </w:trPr>
        <w:tc>
          <w:tcPr>
            <w:tcW w:w="791" w:type="dxa"/>
            <w:vAlign w:val="center"/>
          </w:tcPr>
          <w:p w14:paraId="0444AE9C">
            <w:pPr>
              <w:widowControl/>
              <w:spacing w:line="400" w:lineRule="exact"/>
              <w:jc w:val="center"/>
              <w:rPr>
                <w:rFonts w:eastAsia="方正黑体_GBK" w:cs="宋体"/>
                <w:bCs/>
                <w:kern w:val="0"/>
                <w:sz w:val="18"/>
                <w:szCs w:val="18"/>
              </w:rPr>
            </w:pPr>
            <w:r>
              <w:rPr>
                <w:rFonts w:hint="eastAsia" w:eastAsia="方正黑体_GBK" w:cs="宋体"/>
                <w:bCs/>
                <w:kern w:val="0"/>
                <w:sz w:val="18"/>
                <w:szCs w:val="18"/>
              </w:rPr>
              <w:t>分类</w:t>
            </w:r>
          </w:p>
        </w:tc>
        <w:tc>
          <w:tcPr>
            <w:tcW w:w="762" w:type="dxa"/>
            <w:vAlign w:val="center"/>
          </w:tcPr>
          <w:p w14:paraId="3A21D9C6">
            <w:pPr>
              <w:widowControl/>
              <w:spacing w:line="400" w:lineRule="exact"/>
              <w:jc w:val="center"/>
              <w:rPr>
                <w:rFonts w:eastAsia="方正黑体_GBK" w:cs="宋体"/>
                <w:bCs/>
                <w:kern w:val="0"/>
                <w:sz w:val="18"/>
                <w:szCs w:val="18"/>
              </w:rPr>
            </w:pPr>
            <w:r>
              <w:rPr>
                <w:rFonts w:hint="eastAsia" w:eastAsia="方正黑体_GBK" w:cs="宋体"/>
                <w:bCs/>
                <w:kern w:val="0"/>
                <w:sz w:val="18"/>
                <w:szCs w:val="18"/>
              </w:rPr>
              <w:t>序号</w:t>
            </w:r>
          </w:p>
        </w:tc>
        <w:tc>
          <w:tcPr>
            <w:tcW w:w="8515" w:type="dxa"/>
            <w:vAlign w:val="center"/>
          </w:tcPr>
          <w:p w14:paraId="05857F73">
            <w:pPr>
              <w:widowControl/>
              <w:spacing w:line="400" w:lineRule="exact"/>
              <w:jc w:val="center"/>
              <w:rPr>
                <w:rFonts w:eastAsia="方正黑体_GBK" w:cs="宋体"/>
                <w:bCs/>
                <w:kern w:val="0"/>
                <w:sz w:val="18"/>
                <w:szCs w:val="18"/>
              </w:rPr>
            </w:pPr>
            <w:r>
              <w:rPr>
                <w:rFonts w:hint="eastAsia" w:eastAsia="方正黑体_GBK" w:cs="宋体"/>
                <w:bCs/>
                <w:kern w:val="0"/>
                <w:sz w:val="18"/>
                <w:szCs w:val="18"/>
              </w:rPr>
              <w:t>主体责任</w:t>
            </w:r>
          </w:p>
        </w:tc>
        <w:tc>
          <w:tcPr>
            <w:tcW w:w="5576" w:type="dxa"/>
            <w:vAlign w:val="center"/>
          </w:tcPr>
          <w:p w14:paraId="30E211E1">
            <w:pPr>
              <w:widowControl/>
              <w:spacing w:line="400" w:lineRule="exact"/>
              <w:jc w:val="center"/>
              <w:rPr>
                <w:rFonts w:eastAsia="方正黑体_GBK" w:cs="宋体"/>
                <w:bCs/>
                <w:kern w:val="0"/>
                <w:sz w:val="18"/>
                <w:szCs w:val="18"/>
              </w:rPr>
            </w:pPr>
            <w:r>
              <w:rPr>
                <w:rFonts w:hint="eastAsia" w:eastAsia="方正黑体_GBK" w:cs="宋体"/>
                <w:bCs/>
                <w:kern w:val="0"/>
                <w:sz w:val="18"/>
                <w:szCs w:val="18"/>
              </w:rPr>
              <w:t>责任依据</w:t>
            </w:r>
          </w:p>
        </w:tc>
      </w:tr>
      <w:tr w14:paraId="5426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Header/>
          <w:jc w:val="center"/>
        </w:trPr>
        <w:tc>
          <w:tcPr>
            <w:tcW w:w="791" w:type="dxa"/>
            <w:vMerge w:val="restart"/>
            <w:vAlign w:val="center"/>
          </w:tcPr>
          <w:p w14:paraId="2085FC03">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主体合规</w:t>
            </w:r>
          </w:p>
        </w:tc>
        <w:tc>
          <w:tcPr>
            <w:tcW w:w="762" w:type="dxa"/>
            <w:vAlign w:val="center"/>
          </w:tcPr>
          <w:p w14:paraId="19AA4C7A">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1</w:t>
            </w:r>
          </w:p>
        </w:tc>
        <w:tc>
          <w:tcPr>
            <w:tcW w:w="8515" w:type="dxa"/>
            <w:vAlign w:val="center"/>
          </w:tcPr>
          <w:p w14:paraId="183B4769">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应当依法办理市场主体登记，亮照经营。</w:t>
            </w:r>
          </w:p>
        </w:tc>
        <w:tc>
          <w:tcPr>
            <w:tcW w:w="5576" w:type="dxa"/>
            <w:vAlign w:val="center"/>
          </w:tcPr>
          <w:p w14:paraId="6BA89F30">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《中华人民共和国市场主体登记管理条例》第三条、第三十六条。</w:t>
            </w:r>
          </w:p>
        </w:tc>
      </w:tr>
      <w:tr w14:paraId="62DE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Header/>
          <w:jc w:val="center"/>
        </w:trPr>
        <w:tc>
          <w:tcPr>
            <w:tcW w:w="791" w:type="dxa"/>
            <w:vMerge w:val="continue"/>
            <w:vAlign w:val="center"/>
          </w:tcPr>
          <w:p w14:paraId="2816CDEE">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62" w:type="dxa"/>
            <w:vAlign w:val="center"/>
          </w:tcPr>
          <w:p w14:paraId="0BAA5DB6">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2</w:t>
            </w:r>
          </w:p>
        </w:tc>
        <w:tc>
          <w:tcPr>
            <w:tcW w:w="8515" w:type="dxa"/>
            <w:vAlign w:val="center"/>
          </w:tcPr>
          <w:p w14:paraId="1B71104A">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sz w:val="18"/>
                <w:szCs w:val="18"/>
              </w:rPr>
              <w:t>化妆品展销会举办者应当在展销会举办前向所在地县级负责药品监督管理的部门报告展销会的时间、地点等基本信息。</w:t>
            </w:r>
          </w:p>
        </w:tc>
        <w:tc>
          <w:tcPr>
            <w:tcW w:w="5576" w:type="dxa"/>
            <w:vAlign w:val="center"/>
          </w:tcPr>
          <w:p w14:paraId="72E050D0">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《化妆品生产经营监督管理办法》</w:t>
            </w:r>
            <w:r>
              <w:rPr>
                <w:rFonts w:hint="eastAsia" w:ascii="方正仿宋_GBK" w:hAnsi="方正仿宋_GBK" w:eastAsia="方正仿宋_GBK" w:cs="方正仿宋_GBK"/>
                <w:sz w:val="18"/>
                <w:szCs w:val="18"/>
              </w:rPr>
              <w:t>第四十二条</w:t>
            </w:r>
            <w:r>
              <w:rPr>
                <w:rFonts w:hint="eastAsia" w:ascii="方正仿宋_GBK" w:hAnsi="方正仿宋_GBK" w:eastAsia="方正仿宋_GBK" w:cs="方正仿宋_GBK"/>
                <w:bCs/>
                <w:kern w:val="0"/>
                <w:sz w:val="18"/>
                <w:szCs w:val="18"/>
                <w:lang w:bidi="ar"/>
              </w:rPr>
              <w:t>。</w:t>
            </w:r>
          </w:p>
        </w:tc>
      </w:tr>
      <w:tr w14:paraId="4533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Header/>
          <w:jc w:val="center"/>
        </w:trPr>
        <w:tc>
          <w:tcPr>
            <w:tcW w:w="791" w:type="dxa"/>
            <w:vAlign w:val="center"/>
          </w:tcPr>
          <w:p w14:paraId="28568A5B">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建档与审查</w:t>
            </w:r>
          </w:p>
        </w:tc>
        <w:tc>
          <w:tcPr>
            <w:tcW w:w="762" w:type="dxa"/>
            <w:vAlign w:val="center"/>
          </w:tcPr>
          <w:p w14:paraId="18BF9B1E">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3</w:t>
            </w:r>
          </w:p>
        </w:tc>
        <w:tc>
          <w:tcPr>
            <w:tcW w:w="8515" w:type="dxa"/>
            <w:vAlign w:val="center"/>
          </w:tcPr>
          <w:p w14:paraId="1953CFF8">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sz w:val="18"/>
                <w:szCs w:val="18"/>
              </w:rPr>
              <w:t>化妆品集中交易市场开办者、展销会举办者应当建立入场化妆品经营者档案，审查入场化妆品经营者的市场主体登记证明，如实记录经营者名称或者姓名、联系方式、住所等信息。入场化妆品经营者档案信息应当及时核验更新，保证真实、准确、完整，保存期限不少于经营者在场内停止经营后2年。</w:t>
            </w:r>
          </w:p>
        </w:tc>
        <w:tc>
          <w:tcPr>
            <w:tcW w:w="5576" w:type="dxa"/>
            <w:vAlign w:val="center"/>
          </w:tcPr>
          <w:p w14:paraId="008D8F79">
            <w:pPr>
              <w:pStyle w:val="3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textAlignment w:val="auto"/>
              <w:outlineLvl w:val="9"/>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《化妆品监督管理条例》</w:t>
            </w:r>
            <w:r>
              <w:rPr>
                <w:rFonts w:hint="eastAsia" w:ascii="方正仿宋_GBK" w:hAnsi="方正仿宋_GBK" w:eastAsia="方正仿宋_GBK" w:cs="方正仿宋_GBK"/>
                <w:sz w:val="18"/>
                <w:szCs w:val="18"/>
              </w:rPr>
              <w:t>第四十条；</w:t>
            </w:r>
            <w:r>
              <w:rPr>
                <w:rFonts w:hint="eastAsia" w:ascii="方正仿宋_GBK" w:hAnsi="方正仿宋_GBK" w:eastAsia="方正仿宋_GBK" w:cs="方正仿宋_GBK"/>
                <w:bCs/>
                <w:sz w:val="18"/>
                <w:szCs w:val="18"/>
              </w:rPr>
              <w:t>《化妆品生产经营监督管理办法》</w:t>
            </w:r>
            <w:r>
              <w:rPr>
                <w:rFonts w:hint="eastAsia" w:ascii="方正仿宋_GBK" w:hAnsi="方正仿宋_GBK" w:eastAsia="方正仿宋_GBK" w:cs="方正仿宋_GBK"/>
                <w:sz w:val="18"/>
                <w:szCs w:val="18"/>
              </w:rPr>
              <w:t>第四十二条</w:t>
            </w:r>
            <w:r>
              <w:rPr>
                <w:rFonts w:hint="eastAsia" w:ascii="方正仿宋_GBK" w:hAnsi="方正仿宋_GBK" w:eastAsia="方正仿宋_GBK" w:cs="方正仿宋_GBK"/>
                <w:bCs/>
                <w:sz w:val="18"/>
                <w:szCs w:val="18"/>
                <w:lang w:bidi="ar"/>
              </w:rPr>
              <w:t>。</w:t>
            </w:r>
          </w:p>
        </w:tc>
      </w:tr>
      <w:tr w14:paraId="6766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blHeader/>
          <w:jc w:val="center"/>
        </w:trPr>
        <w:tc>
          <w:tcPr>
            <w:tcW w:w="791" w:type="dxa"/>
            <w:vAlign w:val="center"/>
          </w:tcPr>
          <w:p w14:paraId="05FE8454">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管理责任</w:t>
            </w:r>
          </w:p>
        </w:tc>
        <w:tc>
          <w:tcPr>
            <w:tcW w:w="762" w:type="dxa"/>
            <w:vAlign w:val="center"/>
          </w:tcPr>
          <w:p w14:paraId="481B546A">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4</w:t>
            </w:r>
          </w:p>
        </w:tc>
        <w:tc>
          <w:tcPr>
            <w:tcW w:w="8515" w:type="dxa"/>
            <w:vAlign w:val="center"/>
          </w:tcPr>
          <w:p w14:paraId="542BFB92">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化妆品集中交易市场开办者、展销会举办者应当建立保证化妆品质量安全的管理制度并有效实施，承担入场化妆品经营者管理责任</w:t>
            </w:r>
          </w:p>
          <w:p w14:paraId="249F4665">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督促入场化妆品经营者依法履行义务</w:t>
            </w:r>
          </w:p>
          <w:p w14:paraId="1B069943">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应当建立化妆品检查制度，对经营者的经营条件以及化妆品质量安全状况进行检查。</w:t>
            </w:r>
          </w:p>
          <w:p w14:paraId="009A156F">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sz w:val="18"/>
                <w:szCs w:val="18"/>
              </w:rPr>
              <w:t>应当每年或者展销会期间至少组织开展一次化妆品质量安全知识培训。</w:t>
            </w:r>
          </w:p>
        </w:tc>
        <w:tc>
          <w:tcPr>
            <w:tcW w:w="5576" w:type="dxa"/>
            <w:vAlign w:val="center"/>
          </w:tcPr>
          <w:p w14:paraId="292E0D40">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w:t>
            </w:r>
            <w:r>
              <w:rPr>
                <w:rFonts w:hint="eastAsia" w:ascii="方正仿宋_GBK" w:hAnsi="方正仿宋_GBK" w:eastAsia="方正仿宋_GBK" w:cs="方正仿宋_GBK"/>
                <w:kern w:val="0"/>
                <w:sz w:val="18"/>
                <w:szCs w:val="18"/>
              </w:rPr>
              <w:t>第四十条；</w:t>
            </w:r>
            <w:r>
              <w:rPr>
                <w:rFonts w:hint="eastAsia" w:ascii="方正仿宋_GBK" w:hAnsi="方正仿宋_GBK" w:eastAsia="方正仿宋_GBK" w:cs="方正仿宋_GBK"/>
                <w:bCs/>
                <w:kern w:val="0"/>
                <w:sz w:val="18"/>
                <w:szCs w:val="18"/>
              </w:rPr>
              <w:t>《化妆品生产经营监督管理办法》</w:t>
            </w:r>
            <w:r>
              <w:rPr>
                <w:rFonts w:hint="eastAsia" w:ascii="方正仿宋_GBK" w:hAnsi="方正仿宋_GBK" w:eastAsia="方正仿宋_GBK" w:cs="方正仿宋_GBK"/>
                <w:sz w:val="18"/>
                <w:szCs w:val="18"/>
              </w:rPr>
              <w:t>第四十二条、</w:t>
            </w:r>
            <w:r>
              <w:rPr>
                <w:rFonts w:hint="eastAsia" w:ascii="方正仿宋_GBK" w:hAnsi="方正仿宋_GBK" w:eastAsia="方正仿宋_GBK" w:cs="方正仿宋_GBK"/>
                <w:bCs/>
                <w:kern w:val="0"/>
                <w:sz w:val="18"/>
                <w:szCs w:val="18"/>
              </w:rPr>
              <w:t>第四十三条</w:t>
            </w:r>
            <w:r>
              <w:rPr>
                <w:rFonts w:hint="eastAsia" w:ascii="方正仿宋_GBK" w:hAnsi="方正仿宋_GBK" w:eastAsia="方正仿宋_GBK" w:cs="方正仿宋_GBK"/>
                <w:bCs/>
                <w:kern w:val="0"/>
                <w:sz w:val="18"/>
                <w:szCs w:val="18"/>
                <w:lang w:bidi="ar"/>
              </w:rPr>
              <w:t>。</w:t>
            </w:r>
          </w:p>
        </w:tc>
      </w:tr>
      <w:tr w14:paraId="644C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blHeader/>
          <w:jc w:val="center"/>
        </w:trPr>
        <w:tc>
          <w:tcPr>
            <w:tcW w:w="791" w:type="dxa"/>
            <w:vAlign w:val="center"/>
          </w:tcPr>
          <w:p w14:paraId="44E84A71">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制止与报告</w:t>
            </w:r>
          </w:p>
        </w:tc>
        <w:tc>
          <w:tcPr>
            <w:tcW w:w="762" w:type="dxa"/>
            <w:vAlign w:val="center"/>
          </w:tcPr>
          <w:p w14:paraId="72855EEE">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5</w:t>
            </w:r>
          </w:p>
        </w:tc>
        <w:tc>
          <w:tcPr>
            <w:tcW w:w="8515" w:type="dxa"/>
            <w:vAlign w:val="center"/>
          </w:tcPr>
          <w:p w14:paraId="4A1CFB69">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sz w:val="18"/>
                <w:szCs w:val="18"/>
              </w:rPr>
              <w:t>发现入场化妆品经营者有违反规定行为的，应当及时制止，依照集中交易市场管理规定或者与经营者签订的协议进行处理，并向所在地县级负责药品监督管理的部门报告。</w:t>
            </w:r>
          </w:p>
        </w:tc>
        <w:tc>
          <w:tcPr>
            <w:tcW w:w="5576" w:type="dxa"/>
            <w:vAlign w:val="center"/>
          </w:tcPr>
          <w:p w14:paraId="7DA223D5">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w:t>
            </w:r>
            <w:r>
              <w:rPr>
                <w:rFonts w:hint="eastAsia" w:ascii="方正仿宋_GBK" w:hAnsi="方正仿宋_GBK" w:eastAsia="方正仿宋_GBK" w:cs="方正仿宋_GBK"/>
                <w:kern w:val="0"/>
                <w:sz w:val="18"/>
                <w:szCs w:val="18"/>
              </w:rPr>
              <w:t>第四十条；</w:t>
            </w:r>
            <w:r>
              <w:rPr>
                <w:rFonts w:hint="eastAsia" w:ascii="方正仿宋_GBK" w:hAnsi="方正仿宋_GBK" w:eastAsia="方正仿宋_GBK" w:cs="方正仿宋_GBK"/>
                <w:bCs/>
                <w:kern w:val="0"/>
                <w:sz w:val="18"/>
                <w:szCs w:val="18"/>
              </w:rPr>
              <w:t>《化妆品生产经营监督管理办法》</w:t>
            </w:r>
            <w:r>
              <w:rPr>
                <w:rFonts w:hint="eastAsia" w:ascii="方正仿宋_GBK" w:hAnsi="方正仿宋_GBK" w:eastAsia="方正仿宋_GBK" w:cs="方正仿宋_GBK"/>
                <w:sz w:val="18"/>
                <w:szCs w:val="18"/>
              </w:rPr>
              <w:t>第四十三条</w:t>
            </w:r>
            <w:r>
              <w:rPr>
                <w:rFonts w:hint="eastAsia" w:ascii="方正仿宋_GBK" w:hAnsi="方正仿宋_GBK" w:eastAsia="方正仿宋_GBK" w:cs="方正仿宋_GBK"/>
                <w:bCs/>
                <w:kern w:val="0"/>
                <w:sz w:val="18"/>
                <w:szCs w:val="18"/>
                <w:lang w:bidi="ar"/>
              </w:rPr>
              <w:t>。</w:t>
            </w:r>
          </w:p>
        </w:tc>
      </w:tr>
      <w:tr w14:paraId="3733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Header/>
          <w:jc w:val="center"/>
        </w:trPr>
        <w:tc>
          <w:tcPr>
            <w:tcW w:w="791" w:type="dxa"/>
            <w:vAlign w:val="center"/>
          </w:tcPr>
          <w:p w14:paraId="17693622">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鼓励内容</w:t>
            </w:r>
          </w:p>
        </w:tc>
        <w:tc>
          <w:tcPr>
            <w:tcW w:w="762" w:type="dxa"/>
            <w:vAlign w:val="center"/>
          </w:tcPr>
          <w:p w14:paraId="76B51AAC">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6</w:t>
            </w:r>
          </w:p>
        </w:tc>
        <w:tc>
          <w:tcPr>
            <w:tcW w:w="8515" w:type="dxa"/>
            <w:vAlign w:val="center"/>
          </w:tcPr>
          <w:p w14:paraId="30053C5B">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sz w:val="18"/>
                <w:szCs w:val="18"/>
              </w:rPr>
              <w:t>鼓励化妆品集中交易市场开办者、展销会举办者建立化妆品抽样检验、统一销售凭证格式等制度。</w:t>
            </w:r>
          </w:p>
        </w:tc>
        <w:tc>
          <w:tcPr>
            <w:tcW w:w="5576" w:type="dxa"/>
            <w:vAlign w:val="center"/>
          </w:tcPr>
          <w:p w14:paraId="1C803499">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《化妆品生产经营监督管理办法》</w:t>
            </w:r>
            <w:r>
              <w:rPr>
                <w:rFonts w:hint="eastAsia" w:ascii="方正仿宋_GBK" w:hAnsi="方正仿宋_GBK" w:eastAsia="方正仿宋_GBK" w:cs="方正仿宋_GBK"/>
                <w:sz w:val="18"/>
                <w:szCs w:val="18"/>
              </w:rPr>
              <w:t>第四十三条</w:t>
            </w:r>
            <w:r>
              <w:rPr>
                <w:rFonts w:hint="eastAsia" w:ascii="方正仿宋_GBK" w:hAnsi="方正仿宋_GBK" w:eastAsia="方正仿宋_GBK" w:cs="方正仿宋_GBK"/>
                <w:bCs/>
                <w:kern w:val="0"/>
                <w:sz w:val="18"/>
                <w:szCs w:val="18"/>
                <w:lang w:bidi="ar"/>
              </w:rPr>
              <w:t>。</w:t>
            </w:r>
          </w:p>
        </w:tc>
      </w:tr>
    </w:tbl>
    <w:p w14:paraId="6C1732CD">
      <w:pPr>
        <w:rPr>
          <w:rFonts w:ascii="Times New Roman" w:hAnsi="Times New Roman"/>
        </w:rPr>
      </w:pPr>
    </w:p>
    <w:p w14:paraId="69567636">
      <w:pPr>
        <w:rPr>
          <w:rFonts w:ascii="Times New Roman" w:hAnsi="Times New Roman"/>
        </w:rPr>
      </w:pPr>
    </w:p>
    <w:tbl>
      <w:tblPr>
        <w:tblStyle w:val="9"/>
        <w:tblW w:w="15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762"/>
        <w:gridCol w:w="8515"/>
        <w:gridCol w:w="5576"/>
      </w:tblGrid>
      <w:tr w14:paraId="1519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jc w:val="center"/>
        </w:trPr>
        <w:tc>
          <w:tcPr>
            <w:tcW w:w="791" w:type="dxa"/>
            <w:vAlign w:val="center"/>
          </w:tcPr>
          <w:p w14:paraId="36C241E2">
            <w:pPr>
              <w:widowControl/>
              <w:spacing w:line="360" w:lineRule="exact"/>
              <w:jc w:val="center"/>
              <w:rPr>
                <w:rFonts w:eastAsia="方正黑体_GBK" w:cs="宋体"/>
                <w:kern w:val="0"/>
                <w:sz w:val="18"/>
                <w:szCs w:val="18"/>
              </w:rPr>
            </w:pPr>
            <w:r>
              <w:rPr>
                <w:rFonts w:hint="eastAsia" w:eastAsia="方正黑体_GBK" w:cs="宋体"/>
                <w:kern w:val="0"/>
                <w:sz w:val="18"/>
                <w:szCs w:val="18"/>
              </w:rPr>
              <w:t>表22</w:t>
            </w:r>
          </w:p>
        </w:tc>
        <w:tc>
          <w:tcPr>
            <w:tcW w:w="14853" w:type="dxa"/>
            <w:gridSpan w:val="3"/>
            <w:vAlign w:val="center"/>
          </w:tcPr>
          <w:p w14:paraId="5D676706">
            <w:pPr>
              <w:widowControl/>
              <w:spacing w:line="360" w:lineRule="exact"/>
              <w:jc w:val="center"/>
              <w:rPr>
                <w:rFonts w:eastAsia="方正黑体_GBK" w:cs="宋体"/>
                <w:bCs/>
                <w:kern w:val="0"/>
                <w:sz w:val="18"/>
                <w:szCs w:val="18"/>
              </w:rPr>
            </w:pPr>
            <w:r>
              <w:rPr>
                <w:rFonts w:hint="eastAsia" w:eastAsia="方正黑体_GBK" w:cs="宋体"/>
                <w:bCs/>
                <w:kern w:val="0"/>
                <w:sz w:val="18"/>
                <w:szCs w:val="18"/>
              </w:rPr>
              <w:t>美容美发机构、宾馆等化妆品经营使用单位主体责任清单</w:t>
            </w:r>
          </w:p>
        </w:tc>
      </w:tr>
      <w:tr w14:paraId="426F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791" w:type="dxa"/>
            <w:vAlign w:val="center"/>
          </w:tcPr>
          <w:p w14:paraId="2DD50ED5">
            <w:pPr>
              <w:widowControl/>
              <w:spacing w:line="360" w:lineRule="exact"/>
              <w:jc w:val="center"/>
              <w:rPr>
                <w:rFonts w:eastAsia="方正黑体_GBK" w:cs="宋体"/>
                <w:bCs/>
                <w:kern w:val="0"/>
                <w:sz w:val="18"/>
                <w:szCs w:val="18"/>
              </w:rPr>
            </w:pPr>
            <w:r>
              <w:rPr>
                <w:rFonts w:hint="eastAsia" w:eastAsia="方正黑体_GBK" w:cs="宋体"/>
                <w:bCs/>
                <w:kern w:val="0"/>
                <w:sz w:val="18"/>
                <w:szCs w:val="18"/>
              </w:rPr>
              <w:t>分类</w:t>
            </w:r>
          </w:p>
        </w:tc>
        <w:tc>
          <w:tcPr>
            <w:tcW w:w="762" w:type="dxa"/>
            <w:vAlign w:val="center"/>
          </w:tcPr>
          <w:p w14:paraId="4214403E">
            <w:pPr>
              <w:widowControl/>
              <w:spacing w:line="360" w:lineRule="exact"/>
              <w:jc w:val="center"/>
              <w:rPr>
                <w:rFonts w:eastAsia="方正黑体_GBK" w:cs="宋体"/>
                <w:bCs/>
                <w:kern w:val="0"/>
                <w:sz w:val="18"/>
                <w:szCs w:val="18"/>
              </w:rPr>
            </w:pPr>
            <w:r>
              <w:rPr>
                <w:rFonts w:hint="eastAsia" w:eastAsia="方正黑体_GBK" w:cs="宋体"/>
                <w:bCs/>
                <w:kern w:val="0"/>
                <w:sz w:val="18"/>
                <w:szCs w:val="18"/>
              </w:rPr>
              <w:t>序号</w:t>
            </w:r>
          </w:p>
        </w:tc>
        <w:tc>
          <w:tcPr>
            <w:tcW w:w="8515" w:type="dxa"/>
            <w:vAlign w:val="center"/>
          </w:tcPr>
          <w:p w14:paraId="5682BBC1">
            <w:pPr>
              <w:widowControl/>
              <w:spacing w:line="360" w:lineRule="exact"/>
              <w:jc w:val="center"/>
              <w:rPr>
                <w:rFonts w:eastAsia="方正黑体_GBK" w:cs="宋体"/>
                <w:bCs/>
                <w:kern w:val="0"/>
                <w:sz w:val="18"/>
                <w:szCs w:val="18"/>
              </w:rPr>
            </w:pPr>
            <w:r>
              <w:rPr>
                <w:rFonts w:hint="eastAsia" w:eastAsia="方正黑体_GBK" w:cs="宋体"/>
                <w:bCs/>
                <w:kern w:val="0"/>
                <w:sz w:val="18"/>
                <w:szCs w:val="18"/>
              </w:rPr>
              <w:t>主体责任</w:t>
            </w:r>
          </w:p>
        </w:tc>
        <w:tc>
          <w:tcPr>
            <w:tcW w:w="5576" w:type="dxa"/>
            <w:vAlign w:val="center"/>
          </w:tcPr>
          <w:p w14:paraId="45C0B8BF">
            <w:pPr>
              <w:widowControl/>
              <w:spacing w:line="360" w:lineRule="exact"/>
              <w:jc w:val="center"/>
              <w:rPr>
                <w:rFonts w:eastAsia="方正黑体_GBK" w:cs="宋体"/>
                <w:bCs/>
                <w:kern w:val="0"/>
                <w:sz w:val="18"/>
                <w:szCs w:val="18"/>
              </w:rPr>
            </w:pPr>
            <w:r>
              <w:rPr>
                <w:rFonts w:hint="eastAsia" w:eastAsia="方正黑体_GBK" w:cs="宋体"/>
                <w:bCs/>
                <w:kern w:val="0"/>
                <w:sz w:val="18"/>
                <w:szCs w:val="18"/>
              </w:rPr>
              <w:t>责任依据</w:t>
            </w:r>
          </w:p>
        </w:tc>
      </w:tr>
      <w:tr w14:paraId="459B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91" w:type="dxa"/>
            <w:vAlign w:val="center"/>
          </w:tcPr>
          <w:p w14:paraId="354B4EE6">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主体资格</w:t>
            </w:r>
          </w:p>
        </w:tc>
        <w:tc>
          <w:tcPr>
            <w:tcW w:w="762" w:type="dxa"/>
            <w:vAlign w:val="center"/>
          </w:tcPr>
          <w:p w14:paraId="7504721D">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1</w:t>
            </w:r>
          </w:p>
        </w:tc>
        <w:tc>
          <w:tcPr>
            <w:tcW w:w="8515" w:type="dxa"/>
            <w:vAlign w:val="center"/>
          </w:tcPr>
          <w:p w14:paraId="338B7BB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应当依法办理市场主体登记。亮照经营，经营范围涵盖化妆品。</w:t>
            </w:r>
          </w:p>
        </w:tc>
        <w:tc>
          <w:tcPr>
            <w:tcW w:w="5576" w:type="dxa"/>
            <w:vAlign w:val="center"/>
          </w:tcPr>
          <w:p w14:paraId="3120D35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《中华人民共和国市场主体登记管理条例》第三条、第三十六条。</w:t>
            </w:r>
          </w:p>
        </w:tc>
      </w:tr>
      <w:tr w14:paraId="4BE1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91" w:type="dxa"/>
            <w:vAlign w:val="center"/>
          </w:tcPr>
          <w:p w14:paraId="2AED54B3">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经营要求</w:t>
            </w:r>
          </w:p>
        </w:tc>
        <w:tc>
          <w:tcPr>
            <w:tcW w:w="762" w:type="dxa"/>
            <w:vAlign w:val="center"/>
          </w:tcPr>
          <w:p w14:paraId="303DFD46">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2</w:t>
            </w:r>
          </w:p>
        </w:tc>
        <w:tc>
          <w:tcPr>
            <w:tcW w:w="8515" w:type="dxa"/>
            <w:vAlign w:val="center"/>
          </w:tcPr>
          <w:p w14:paraId="192B56F9">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美容美发机构、宾馆等应当依法履行化妆品经营者义务，并落实以下要求：</w:t>
            </w:r>
          </w:p>
          <w:p w14:paraId="797798D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（1）为消费者提供的化妆品应当符合最小销售单元标签的规定；</w:t>
            </w:r>
          </w:p>
          <w:p w14:paraId="559DAC8D">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（2）在其服务场所内显著位置展示其经营使用的化妆品的销售包装；</w:t>
            </w:r>
          </w:p>
          <w:p w14:paraId="5C76201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（3）正确使用或者引导消费者正确使用化妆品。</w:t>
            </w:r>
          </w:p>
        </w:tc>
        <w:tc>
          <w:tcPr>
            <w:tcW w:w="5576" w:type="dxa"/>
            <w:vAlign w:val="center"/>
          </w:tcPr>
          <w:p w14:paraId="41331C0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《化妆品监督管理条例》第四十二条；《化妆品生产经营监督管理办法》第四十一条。</w:t>
            </w:r>
          </w:p>
        </w:tc>
      </w:tr>
      <w:tr w14:paraId="2BA6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791" w:type="dxa"/>
            <w:vAlign w:val="center"/>
          </w:tcPr>
          <w:p w14:paraId="460FB88B">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进货查验</w:t>
            </w:r>
          </w:p>
        </w:tc>
        <w:tc>
          <w:tcPr>
            <w:tcW w:w="762" w:type="dxa"/>
            <w:vAlign w:val="center"/>
          </w:tcPr>
          <w:p w14:paraId="1844FE03">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3</w:t>
            </w:r>
          </w:p>
        </w:tc>
        <w:tc>
          <w:tcPr>
            <w:tcW w:w="8515" w:type="dxa"/>
            <w:vAlign w:val="center"/>
          </w:tcPr>
          <w:p w14:paraId="0AB55D13">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依法建立并执行进货查验记录制度，如实记录产品相关信息并保存相关凭证。具体查验内容：</w:t>
            </w:r>
          </w:p>
          <w:p w14:paraId="7EEDB054">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（1）查验直接供货者的市场主体登记证明，严格索证索票管理，确保产品来源合法合规；</w:t>
            </w:r>
          </w:p>
          <w:p w14:paraId="1FAA4758">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（2）查验特殊化妆品注册信息或者普通化妆品备案信息，禁止经营未经注册或备案的化妆品（登录国家药品监督管理局网站查询化妆品注册备案信息）；</w:t>
            </w:r>
          </w:p>
          <w:p w14:paraId="1BD302B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（3）查验化妆品的产品出厂检验合格证明及产品相关信息；进口化妆品（含参照进口化妆品管理）是否经海关检验检疫，是否有合法来源证明等凭证；如实记录并保存相关凭证；</w:t>
            </w:r>
          </w:p>
          <w:p w14:paraId="132B88A9">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（4）进货查验记录要求真实、完整，保证可追溯；</w:t>
            </w:r>
          </w:p>
          <w:p w14:paraId="7581981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（5）进货查验记录保存期限：不得少于化妆品使用期限届满后1年；产品使用期限不足1年的，记录保存期限不得少于2年。</w:t>
            </w:r>
          </w:p>
        </w:tc>
        <w:tc>
          <w:tcPr>
            <w:tcW w:w="5576" w:type="dxa"/>
            <w:vAlign w:val="center"/>
          </w:tcPr>
          <w:p w14:paraId="67EA8FC8">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《化妆品监督管理条例》第四条、第六条</w:t>
            </w:r>
            <w:r>
              <w:rPr>
                <w:rFonts w:hint="eastAsia" w:ascii="方正仿宋_GBK" w:hAnsi="方正仿宋_GBK" w:eastAsia="方正仿宋_GBK" w:cs="方正仿宋_GBK"/>
                <w:bCs/>
                <w:kern w:val="0"/>
                <w:sz w:val="18"/>
                <w:szCs w:val="18"/>
              </w:rPr>
              <w:t>、</w:t>
            </w:r>
            <w:r>
              <w:rPr>
                <w:rFonts w:hint="eastAsia" w:ascii="方正仿宋_GBK" w:hAnsi="方正仿宋_GBK" w:eastAsia="方正仿宋_GBK" w:cs="方正仿宋_GBK"/>
                <w:bCs/>
                <w:kern w:val="0"/>
                <w:sz w:val="18"/>
                <w:szCs w:val="18"/>
                <w:lang w:bidi="ar"/>
              </w:rPr>
              <w:t>第十七条</w:t>
            </w:r>
            <w:r>
              <w:rPr>
                <w:rFonts w:hint="eastAsia" w:ascii="方正仿宋_GBK" w:hAnsi="方正仿宋_GBK" w:eastAsia="方正仿宋_GBK" w:cs="方正仿宋_GBK"/>
                <w:bCs/>
                <w:kern w:val="0"/>
                <w:sz w:val="18"/>
                <w:szCs w:val="18"/>
              </w:rPr>
              <w:t>、</w:t>
            </w:r>
            <w:r>
              <w:rPr>
                <w:rFonts w:hint="eastAsia" w:ascii="方正仿宋_GBK" w:hAnsi="方正仿宋_GBK" w:eastAsia="方正仿宋_GBK" w:cs="方正仿宋_GBK"/>
                <w:bCs/>
                <w:kern w:val="0"/>
                <w:sz w:val="18"/>
                <w:szCs w:val="18"/>
                <w:lang w:bidi="ar"/>
              </w:rPr>
              <w:t>第三十一条、第三十八条</w:t>
            </w:r>
            <w:r>
              <w:rPr>
                <w:rFonts w:hint="eastAsia" w:ascii="方正仿宋_GBK" w:hAnsi="方正仿宋_GBK" w:eastAsia="方正仿宋_GBK" w:cs="方正仿宋_GBK"/>
                <w:bCs/>
                <w:kern w:val="0"/>
                <w:sz w:val="18"/>
                <w:szCs w:val="18"/>
              </w:rPr>
              <w:t>、</w:t>
            </w:r>
            <w:r>
              <w:rPr>
                <w:rFonts w:hint="eastAsia" w:ascii="方正仿宋_GBK" w:hAnsi="方正仿宋_GBK" w:eastAsia="方正仿宋_GBK" w:cs="方正仿宋_GBK"/>
                <w:bCs/>
                <w:kern w:val="0"/>
                <w:sz w:val="18"/>
                <w:szCs w:val="18"/>
                <w:lang w:bidi="ar"/>
              </w:rPr>
              <w:t>第四十五条；《化妆品生产经营监督管理办法》第三十九条、第四十条；《化妆品注册备案管理办法》第三十五条、第六十一条。</w:t>
            </w:r>
          </w:p>
        </w:tc>
      </w:tr>
      <w:tr w14:paraId="45AC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91" w:type="dxa"/>
            <w:vMerge w:val="restart"/>
            <w:vAlign w:val="center"/>
          </w:tcPr>
          <w:p w14:paraId="52F806B6">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质量安全和风险控制</w:t>
            </w:r>
          </w:p>
        </w:tc>
        <w:tc>
          <w:tcPr>
            <w:tcW w:w="762" w:type="dxa"/>
            <w:vAlign w:val="center"/>
          </w:tcPr>
          <w:p w14:paraId="3EC43B6F">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4</w:t>
            </w:r>
          </w:p>
        </w:tc>
        <w:tc>
          <w:tcPr>
            <w:tcW w:w="8515" w:type="dxa"/>
            <w:vAlign w:val="center"/>
          </w:tcPr>
          <w:p w14:paraId="4ED04D8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应当依照法律、法规、强制性国家标准、技术规范从事生产经营活动，加强管理，诚信自律，保证化妆品质量安全。化妆品应当符合强制性国家标准。</w:t>
            </w:r>
          </w:p>
        </w:tc>
        <w:tc>
          <w:tcPr>
            <w:tcW w:w="5576" w:type="dxa"/>
            <w:vAlign w:val="center"/>
          </w:tcPr>
          <w:p w14:paraId="123774EE">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《化妆品监督管理条例》第六条、第二十五条。</w:t>
            </w:r>
          </w:p>
        </w:tc>
      </w:tr>
      <w:tr w14:paraId="657E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91" w:type="dxa"/>
            <w:vMerge w:val="continue"/>
            <w:vAlign w:val="center"/>
          </w:tcPr>
          <w:p w14:paraId="56EEB9B2">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62" w:type="dxa"/>
            <w:vAlign w:val="center"/>
          </w:tcPr>
          <w:p w14:paraId="2EF75D6B">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5</w:t>
            </w:r>
          </w:p>
        </w:tc>
        <w:tc>
          <w:tcPr>
            <w:tcW w:w="8515" w:type="dxa"/>
            <w:vAlign w:val="center"/>
          </w:tcPr>
          <w:p w14:paraId="408BAF6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问题化妆品及时处置。（1）监管部门通告或责令下架的化妆品以及化妆品经营者得知或者发现其经营的化妆品存在质量缺陷或者其他问题，可能危害人体健康的，应当立即停止经营并采取措施整改；（2）化妆品注册人、备案人实施召回的，化妆品经营者应当予以配合。</w:t>
            </w:r>
          </w:p>
        </w:tc>
        <w:tc>
          <w:tcPr>
            <w:tcW w:w="5576" w:type="dxa"/>
            <w:vAlign w:val="center"/>
          </w:tcPr>
          <w:p w14:paraId="4D4AB0A9">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《化妆品监督管理条例》第四十四条；《化妆品生产经营监督管理办法》第五十七条。</w:t>
            </w:r>
          </w:p>
        </w:tc>
      </w:tr>
      <w:tr w14:paraId="1D9F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91" w:type="dxa"/>
            <w:vAlign w:val="center"/>
          </w:tcPr>
          <w:p w14:paraId="398A0FD9">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质量安全和风险控制</w:t>
            </w:r>
          </w:p>
        </w:tc>
        <w:tc>
          <w:tcPr>
            <w:tcW w:w="762" w:type="dxa"/>
            <w:vAlign w:val="center"/>
          </w:tcPr>
          <w:p w14:paraId="52222F6D">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6</w:t>
            </w:r>
          </w:p>
        </w:tc>
        <w:tc>
          <w:tcPr>
            <w:tcW w:w="8515" w:type="dxa"/>
            <w:vAlign w:val="center"/>
          </w:tcPr>
          <w:p w14:paraId="0AD17AF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抽检不合格产品及时处置。</w:t>
            </w:r>
          </w:p>
          <w:p w14:paraId="319E423D">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（1）对抽检不合格产品应停止经营、使用，并按规定开展自查整改；</w:t>
            </w:r>
          </w:p>
          <w:p w14:paraId="0E1EDCD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（2）对检验结论有异议的，依法提出复检申请。</w:t>
            </w:r>
          </w:p>
        </w:tc>
        <w:tc>
          <w:tcPr>
            <w:tcW w:w="5576" w:type="dxa"/>
            <w:vAlign w:val="center"/>
          </w:tcPr>
          <w:p w14:paraId="244A4A7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《化妆品监督管理条例》第四十六条、第五十一条；《化妆品生产经营监督管理办法》第五十三条。</w:t>
            </w:r>
          </w:p>
        </w:tc>
      </w:tr>
      <w:tr w14:paraId="57DD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91" w:type="dxa"/>
            <w:vAlign w:val="center"/>
          </w:tcPr>
          <w:p w14:paraId="56122DD2">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标签管理</w:t>
            </w:r>
          </w:p>
        </w:tc>
        <w:tc>
          <w:tcPr>
            <w:tcW w:w="762" w:type="dxa"/>
            <w:vAlign w:val="center"/>
          </w:tcPr>
          <w:p w14:paraId="5758AE7D">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7</w:t>
            </w:r>
          </w:p>
        </w:tc>
        <w:tc>
          <w:tcPr>
            <w:tcW w:w="8515" w:type="dxa"/>
            <w:vAlign w:val="center"/>
          </w:tcPr>
          <w:p w14:paraId="11D34EFB">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依法查验标签，标签应当合法合规。</w:t>
            </w:r>
          </w:p>
          <w:p w14:paraId="20DA59C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（1）化妆品应有中文标签，内容真实、完整、准确。</w:t>
            </w:r>
          </w:p>
          <w:p w14:paraId="088B3342">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（2）最小销售单元应当有标签。</w:t>
            </w:r>
          </w:p>
          <w:p w14:paraId="4599A7BD">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3）标签应当应当至少包括以下内容:产品中文名称、特殊化妆品注册证书编号；注册人、备案人的名称、地址，注册人或者备案人为境外企业的，应当同时标注境内责任人的名称、地址；生产企业的名称、地址，国产化妆品应当同时标注生产企业生产许可证编号；产品执行的标准编号；全成分；净含量；使用期限；使用方法；必要的安全警示用语；法律、行政法规和强制性国家标准规定应当标注的其他内容。</w:t>
            </w:r>
          </w:p>
          <w:p w14:paraId="3C21B109">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（4）标签禁止标注下列内容：明示或者暗示具有医疗作用的内容；虚假或者引人误解的内容；违反社会公序良俗的内容；法律、行政法规禁止标注的其他内容。</w:t>
            </w:r>
          </w:p>
          <w:p w14:paraId="03B242B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（5）以免费试用、赠予、兑换等形式向消费者提供的化妆品，其标签也必须符合要求；</w:t>
            </w:r>
          </w:p>
          <w:p w14:paraId="4F607F8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lang w:bidi="ar"/>
              </w:rPr>
            </w:pPr>
            <w:r>
              <w:rPr>
                <w:rFonts w:hint="eastAsia" w:ascii="方正仿宋_GBK" w:hAnsi="方正仿宋_GBK" w:eastAsia="方正仿宋_GBK" w:cs="方正仿宋_GBK"/>
                <w:bCs/>
                <w:kern w:val="0"/>
                <w:sz w:val="18"/>
                <w:szCs w:val="18"/>
                <w:lang w:bidi="ar"/>
              </w:rPr>
              <w:t>（6）化妆品净含量不大于15g或者15mL的小规格包装产品，仅需在销售包装可视面标注产品中文名称、特殊化妆品注册证书编号、注册人或者备案人的名称、净含量、使用期限等信息，其他应当标注的信息可以标注在随附于产品的说明书中。具有包装盒的小规格包装产品，还应当同时在直接接触内容物的包装容器上标注产品中文名称和使用期限。</w:t>
            </w:r>
          </w:p>
          <w:p w14:paraId="27ECBB8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（7）</w:t>
            </w:r>
            <w:r>
              <w:rPr>
                <w:rFonts w:hint="eastAsia" w:ascii="方正仿宋_GBK" w:hAnsi="方正仿宋_GBK" w:eastAsia="方正仿宋_GBK" w:cs="方正仿宋_GBK"/>
                <w:bCs/>
                <w:kern w:val="0"/>
                <w:sz w:val="18"/>
                <w:szCs w:val="18"/>
              </w:rPr>
              <w:t>儿童化妆品应按照要求在销售包装主要展示版面左上方标注儿童化妆品标志（即“小金盾”标志）。</w:t>
            </w:r>
          </w:p>
          <w:p w14:paraId="0763A79B">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（8）进口化妆品（含参照进口化妆品管理）可以直接使用中文标签，也可以加贴中文标签；加贴中文标签的，中文标签内容应当与原标签内容一致。</w:t>
            </w:r>
          </w:p>
        </w:tc>
        <w:tc>
          <w:tcPr>
            <w:tcW w:w="5576" w:type="dxa"/>
            <w:vAlign w:val="center"/>
          </w:tcPr>
          <w:p w14:paraId="46475484">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监督管理条例》第三十五条、第三十六条、第三十七条；《化妆品生产经营监督管理办法》第三十五条、第三十六条、第四十九条；《儿童化妆品监督管理规定》第六条；《化妆品标签管理办法》第五条、第六条、</w:t>
            </w:r>
            <w:r>
              <w:rPr>
                <w:rFonts w:hint="eastAsia" w:ascii="方正仿宋_GBK" w:hAnsi="方正仿宋_GBK" w:eastAsia="方正仿宋_GBK" w:cs="方正仿宋_GBK"/>
                <w:bCs/>
                <w:kern w:val="0"/>
                <w:sz w:val="18"/>
                <w:szCs w:val="18"/>
              </w:rPr>
              <w:t>第七条、第十七条</w:t>
            </w:r>
            <w:r>
              <w:rPr>
                <w:rFonts w:hint="eastAsia" w:ascii="方正仿宋_GBK" w:hAnsi="方正仿宋_GBK" w:eastAsia="方正仿宋_GBK" w:cs="方正仿宋_GBK"/>
                <w:bCs/>
                <w:kern w:val="0"/>
                <w:sz w:val="18"/>
                <w:szCs w:val="18"/>
                <w:lang w:bidi="ar"/>
              </w:rPr>
              <w:t>。</w:t>
            </w:r>
          </w:p>
        </w:tc>
      </w:tr>
      <w:tr w14:paraId="08EE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91" w:type="dxa"/>
            <w:vAlign w:val="center"/>
          </w:tcPr>
          <w:p w14:paraId="53B82C9D">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贮存运输</w:t>
            </w:r>
          </w:p>
        </w:tc>
        <w:tc>
          <w:tcPr>
            <w:tcW w:w="762" w:type="dxa"/>
            <w:vAlign w:val="center"/>
          </w:tcPr>
          <w:p w14:paraId="7F76FEA0">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8</w:t>
            </w:r>
          </w:p>
        </w:tc>
        <w:tc>
          <w:tcPr>
            <w:tcW w:w="8515" w:type="dxa"/>
            <w:vAlign w:val="center"/>
          </w:tcPr>
          <w:p w14:paraId="63DDBFB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应当依照有关法律、法规的规定和化妆品标签标示的要求贮存、运输化妆品，定期检查并及时处理变质或者超过使用期限的化妆品。</w:t>
            </w:r>
          </w:p>
        </w:tc>
        <w:tc>
          <w:tcPr>
            <w:tcW w:w="5576" w:type="dxa"/>
            <w:vAlign w:val="center"/>
          </w:tcPr>
          <w:p w14:paraId="4A8ACF53">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《化妆品监督管理条例》第三十九条</w:t>
            </w:r>
            <w:r>
              <w:rPr>
                <w:rFonts w:hint="eastAsia" w:ascii="方正仿宋_GBK" w:hAnsi="方正仿宋_GBK" w:eastAsia="方正仿宋_GBK" w:cs="方正仿宋_GBK"/>
                <w:bCs/>
                <w:kern w:val="0"/>
                <w:sz w:val="18"/>
                <w:szCs w:val="18"/>
                <w:lang w:bidi="ar"/>
              </w:rPr>
              <w:t>。</w:t>
            </w:r>
          </w:p>
        </w:tc>
      </w:tr>
      <w:tr w14:paraId="7347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1" w:type="dxa"/>
            <w:vAlign w:val="center"/>
          </w:tcPr>
          <w:p w14:paraId="2709B30E">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广告宣传</w:t>
            </w:r>
          </w:p>
        </w:tc>
        <w:tc>
          <w:tcPr>
            <w:tcW w:w="762" w:type="dxa"/>
            <w:vAlign w:val="center"/>
          </w:tcPr>
          <w:p w14:paraId="2E108EF0">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9</w:t>
            </w:r>
          </w:p>
        </w:tc>
        <w:tc>
          <w:tcPr>
            <w:tcW w:w="8515" w:type="dxa"/>
            <w:vAlign w:val="center"/>
          </w:tcPr>
          <w:p w14:paraId="22D4B91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化妆品广告真实、合法。</w:t>
            </w:r>
            <w:r>
              <w:rPr>
                <w:rFonts w:hint="eastAsia" w:ascii="方正仿宋_GBK" w:hAnsi="方正仿宋_GBK" w:eastAsia="方正仿宋_GBK" w:cs="方正仿宋_GBK"/>
                <w:bCs/>
                <w:kern w:val="0"/>
                <w:sz w:val="18"/>
                <w:szCs w:val="18"/>
              </w:rPr>
              <w:t>化妆品广告不得明示或者暗示产品具有医疗作用，不得含有虚假或者引人误解的内容，不得欺骗、误导消费者。普通化妆品不得宣称特殊化妆品相关功效</w:t>
            </w:r>
            <w:r>
              <w:rPr>
                <w:rFonts w:hint="eastAsia" w:ascii="方正仿宋_GBK" w:hAnsi="方正仿宋_GBK" w:eastAsia="方正仿宋_GBK" w:cs="方正仿宋_GBK"/>
                <w:bCs/>
                <w:kern w:val="0"/>
                <w:sz w:val="18"/>
                <w:szCs w:val="18"/>
                <w:lang w:bidi="ar"/>
              </w:rPr>
              <w:t>。</w:t>
            </w:r>
          </w:p>
        </w:tc>
        <w:tc>
          <w:tcPr>
            <w:tcW w:w="5576" w:type="dxa"/>
            <w:vAlign w:val="center"/>
          </w:tcPr>
          <w:p w14:paraId="717AACFE">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《化妆品监督管理条例》第四十三条；《化妆品生产经营监督管理办法》第三十八条</w:t>
            </w:r>
            <w:r>
              <w:rPr>
                <w:rFonts w:hint="eastAsia" w:ascii="方正仿宋_GBK" w:hAnsi="方正仿宋_GBK" w:eastAsia="方正仿宋_GBK" w:cs="方正仿宋_GBK"/>
                <w:bCs/>
                <w:kern w:val="0"/>
                <w:sz w:val="18"/>
                <w:szCs w:val="18"/>
                <w:lang w:bidi="ar"/>
              </w:rPr>
              <w:t>。</w:t>
            </w:r>
          </w:p>
        </w:tc>
      </w:tr>
      <w:tr w14:paraId="1CD6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91" w:type="dxa"/>
            <w:vAlign w:val="center"/>
          </w:tcPr>
          <w:p w14:paraId="49E907CE">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不良反应</w:t>
            </w:r>
          </w:p>
        </w:tc>
        <w:tc>
          <w:tcPr>
            <w:tcW w:w="762" w:type="dxa"/>
            <w:vAlign w:val="center"/>
          </w:tcPr>
          <w:p w14:paraId="45C19ED8">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10</w:t>
            </w:r>
          </w:p>
        </w:tc>
        <w:tc>
          <w:tcPr>
            <w:tcW w:w="8515" w:type="dxa"/>
            <w:vAlign w:val="center"/>
          </w:tcPr>
          <w:p w14:paraId="125C424B">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化妆品不良反应报告遵循可疑即报的原则。发现可能与使用化妆品有关的不良反应的，应当报告化妆品不良反应监测机构。应当配合化妆品不良反应监测机构、负责药品监督管理的部门开展化妆品不良反应调查。</w:t>
            </w:r>
            <w:r>
              <w:rPr>
                <w:rFonts w:hint="eastAsia" w:ascii="方正仿宋_GBK" w:hAnsi="方正仿宋_GBK" w:eastAsia="方正仿宋_GBK" w:cs="方正仿宋_GBK"/>
                <w:bCs/>
                <w:kern w:val="0"/>
                <w:sz w:val="18"/>
                <w:szCs w:val="18"/>
                <w:lang w:bidi="ar"/>
              </w:rPr>
              <w:t>依法开展不良反应报告收集和安全隐患产品处置。</w:t>
            </w:r>
          </w:p>
        </w:tc>
        <w:tc>
          <w:tcPr>
            <w:tcW w:w="5576" w:type="dxa"/>
            <w:vAlign w:val="center"/>
          </w:tcPr>
          <w:p w14:paraId="2329487E">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《化妆品监督管理条例》第五十二条；《化妆品生产经营监督管理办法》第五十五条；《化妆品不良反应监测管理办法》第四条、第十四条、第十八条</w:t>
            </w:r>
            <w:r>
              <w:rPr>
                <w:rFonts w:hint="eastAsia" w:ascii="方正仿宋_GBK" w:hAnsi="方正仿宋_GBK" w:eastAsia="方正仿宋_GBK" w:cs="方正仿宋_GBK"/>
                <w:bCs/>
                <w:kern w:val="0"/>
                <w:sz w:val="18"/>
                <w:szCs w:val="18"/>
                <w:lang w:bidi="ar"/>
              </w:rPr>
              <w:t>。</w:t>
            </w:r>
          </w:p>
        </w:tc>
      </w:tr>
      <w:tr w14:paraId="2C8E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91" w:type="dxa"/>
            <w:vMerge w:val="restart"/>
            <w:vAlign w:val="center"/>
          </w:tcPr>
          <w:p w14:paraId="30DAAF68">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行业禁止</w:t>
            </w:r>
          </w:p>
        </w:tc>
        <w:tc>
          <w:tcPr>
            <w:tcW w:w="762" w:type="dxa"/>
            <w:vAlign w:val="center"/>
          </w:tcPr>
          <w:p w14:paraId="7F81E833">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11</w:t>
            </w:r>
          </w:p>
        </w:tc>
        <w:tc>
          <w:tcPr>
            <w:tcW w:w="8515" w:type="dxa"/>
            <w:vAlign w:val="center"/>
          </w:tcPr>
          <w:p w14:paraId="0B3739A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禁止自行配制化妆品。</w:t>
            </w:r>
          </w:p>
        </w:tc>
        <w:tc>
          <w:tcPr>
            <w:tcW w:w="5576" w:type="dxa"/>
            <w:vAlign w:val="center"/>
          </w:tcPr>
          <w:p w14:paraId="29B5BA4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《化妆品监督管理条例》第三十八条；《化妆品生产经营监督管理办法》第六十三条</w:t>
            </w:r>
            <w:r>
              <w:rPr>
                <w:rFonts w:hint="eastAsia" w:ascii="方正仿宋_GBK" w:hAnsi="方正仿宋_GBK" w:eastAsia="方正仿宋_GBK" w:cs="方正仿宋_GBK"/>
                <w:bCs/>
                <w:kern w:val="0"/>
                <w:sz w:val="18"/>
                <w:szCs w:val="18"/>
                <w:lang w:bidi="ar"/>
              </w:rPr>
              <w:t>。</w:t>
            </w:r>
          </w:p>
        </w:tc>
      </w:tr>
      <w:tr w14:paraId="69F5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91" w:type="dxa"/>
            <w:vMerge w:val="continue"/>
            <w:vAlign w:val="center"/>
          </w:tcPr>
          <w:p w14:paraId="379C9427">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62" w:type="dxa"/>
            <w:vAlign w:val="center"/>
          </w:tcPr>
          <w:p w14:paraId="07BEA86C">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12</w:t>
            </w:r>
          </w:p>
        </w:tc>
        <w:tc>
          <w:tcPr>
            <w:tcW w:w="8515" w:type="dxa"/>
            <w:vAlign w:val="center"/>
          </w:tcPr>
          <w:p w14:paraId="237689C9">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禁止经营变质、超过使用期限的化妆品。</w:t>
            </w:r>
          </w:p>
        </w:tc>
        <w:tc>
          <w:tcPr>
            <w:tcW w:w="5576" w:type="dxa"/>
            <w:vAlign w:val="center"/>
          </w:tcPr>
          <w:p w14:paraId="3AD1E9D9">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《化妆品监督管理条例》第三十九条、第六十条</w:t>
            </w:r>
            <w:r>
              <w:rPr>
                <w:rFonts w:hint="eastAsia" w:ascii="方正仿宋_GBK" w:hAnsi="方正仿宋_GBK" w:eastAsia="方正仿宋_GBK" w:cs="方正仿宋_GBK"/>
                <w:bCs/>
                <w:kern w:val="0"/>
                <w:sz w:val="18"/>
                <w:szCs w:val="18"/>
                <w:lang w:bidi="ar"/>
              </w:rPr>
              <w:t>。</w:t>
            </w:r>
          </w:p>
        </w:tc>
      </w:tr>
      <w:tr w14:paraId="1AC3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91" w:type="dxa"/>
            <w:vMerge w:val="continue"/>
            <w:vAlign w:val="center"/>
          </w:tcPr>
          <w:p w14:paraId="78725D5B">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62" w:type="dxa"/>
            <w:vAlign w:val="center"/>
          </w:tcPr>
          <w:p w14:paraId="3F58841E">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13</w:t>
            </w:r>
          </w:p>
        </w:tc>
        <w:tc>
          <w:tcPr>
            <w:tcW w:w="8515" w:type="dxa"/>
            <w:vAlign w:val="center"/>
          </w:tcPr>
          <w:p w14:paraId="52433EE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禁止更改化妆品使用期限。</w:t>
            </w:r>
          </w:p>
        </w:tc>
        <w:tc>
          <w:tcPr>
            <w:tcW w:w="5576" w:type="dxa"/>
            <w:vAlign w:val="center"/>
          </w:tcPr>
          <w:p w14:paraId="2DA874CB">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《化妆品监督管理条例》第六十条</w:t>
            </w:r>
            <w:r>
              <w:rPr>
                <w:rFonts w:hint="eastAsia" w:ascii="方正仿宋_GBK" w:hAnsi="方正仿宋_GBK" w:eastAsia="方正仿宋_GBK" w:cs="方正仿宋_GBK"/>
                <w:bCs/>
                <w:kern w:val="0"/>
                <w:sz w:val="18"/>
                <w:szCs w:val="18"/>
                <w:lang w:bidi="ar"/>
              </w:rPr>
              <w:t>。</w:t>
            </w:r>
          </w:p>
        </w:tc>
      </w:tr>
      <w:tr w14:paraId="256D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91" w:type="dxa"/>
            <w:vMerge w:val="continue"/>
            <w:vAlign w:val="center"/>
          </w:tcPr>
          <w:p w14:paraId="179D7796">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62" w:type="dxa"/>
            <w:vAlign w:val="center"/>
          </w:tcPr>
          <w:p w14:paraId="18CB6B40">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14</w:t>
            </w:r>
          </w:p>
        </w:tc>
        <w:tc>
          <w:tcPr>
            <w:tcW w:w="8515" w:type="dxa"/>
            <w:vAlign w:val="center"/>
          </w:tcPr>
          <w:p w14:paraId="33C0038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有法律法规规定禁止从业的人员，不得从事化妆品经营活动。</w:t>
            </w:r>
          </w:p>
        </w:tc>
        <w:tc>
          <w:tcPr>
            <w:tcW w:w="5576" w:type="dxa"/>
            <w:vAlign w:val="center"/>
          </w:tcPr>
          <w:p w14:paraId="779D6CE8">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《化妆品监督管理条例》第七十三条</w:t>
            </w:r>
            <w:r>
              <w:rPr>
                <w:rFonts w:hint="eastAsia" w:ascii="方正仿宋_GBK" w:hAnsi="方正仿宋_GBK" w:eastAsia="方正仿宋_GBK" w:cs="方正仿宋_GBK"/>
                <w:bCs/>
                <w:kern w:val="0"/>
                <w:sz w:val="18"/>
                <w:szCs w:val="18"/>
                <w:lang w:bidi="ar"/>
              </w:rPr>
              <w:t>。</w:t>
            </w:r>
          </w:p>
        </w:tc>
      </w:tr>
      <w:tr w14:paraId="1D1E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91" w:type="dxa"/>
            <w:vMerge w:val="restart"/>
            <w:vAlign w:val="center"/>
          </w:tcPr>
          <w:p w14:paraId="517EF981">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其他事项</w:t>
            </w:r>
          </w:p>
        </w:tc>
        <w:tc>
          <w:tcPr>
            <w:tcW w:w="762" w:type="dxa"/>
            <w:vAlign w:val="center"/>
          </w:tcPr>
          <w:p w14:paraId="736D994F">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15</w:t>
            </w:r>
          </w:p>
        </w:tc>
        <w:tc>
          <w:tcPr>
            <w:tcW w:w="8515" w:type="dxa"/>
            <w:vAlign w:val="center"/>
          </w:tcPr>
          <w:p w14:paraId="5F3AE5F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依法配合监督检查。</w:t>
            </w:r>
          </w:p>
        </w:tc>
        <w:tc>
          <w:tcPr>
            <w:tcW w:w="5576" w:type="dxa"/>
            <w:vAlign w:val="center"/>
          </w:tcPr>
          <w:p w14:paraId="131DAC0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《化妆品监督管理条例》第四十七条、第七十四条</w:t>
            </w:r>
            <w:r>
              <w:rPr>
                <w:rFonts w:hint="eastAsia" w:ascii="方正仿宋_GBK" w:hAnsi="方正仿宋_GBK" w:eastAsia="方正仿宋_GBK" w:cs="方正仿宋_GBK"/>
                <w:bCs/>
                <w:kern w:val="0"/>
                <w:sz w:val="18"/>
                <w:szCs w:val="18"/>
                <w:lang w:bidi="ar"/>
              </w:rPr>
              <w:t>。</w:t>
            </w:r>
          </w:p>
        </w:tc>
      </w:tr>
      <w:tr w14:paraId="0E61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91" w:type="dxa"/>
            <w:vMerge w:val="continue"/>
            <w:vAlign w:val="center"/>
          </w:tcPr>
          <w:p w14:paraId="2B700B96">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62" w:type="dxa"/>
            <w:vAlign w:val="center"/>
          </w:tcPr>
          <w:p w14:paraId="4D07F557">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16</w:t>
            </w:r>
          </w:p>
        </w:tc>
        <w:tc>
          <w:tcPr>
            <w:tcW w:w="8515" w:type="dxa"/>
            <w:vAlign w:val="center"/>
          </w:tcPr>
          <w:p w14:paraId="05170C5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依法保护消费者合法权益。</w:t>
            </w:r>
          </w:p>
        </w:tc>
        <w:tc>
          <w:tcPr>
            <w:tcW w:w="5576" w:type="dxa"/>
            <w:vAlign w:val="center"/>
          </w:tcPr>
          <w:p w14:paraId="7E2F6E4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《化妆品监督管理条例》第八条、第七十六条</w:t>
            </w:r>
            <w:r>
              <w:rPr>
                <w:rFonts w:hint="eastAsia" w:ascii="方正仿宋_GBK" w:hAnsi="方正仿宋_GBK" w:eastAsia="方正仿宋_GBK" w:cs="方正仿宋_GBK"/>
                <w:bCs/>
                <w:kern w:val="0"/>
                <w:sz w:val="18"/>
                <w:szCs w:val="18"/>
                <w:lang w:bidi="ar"/>
              </w:rPr>
              <w:t>。</w:t>
            </w:r>
          </w:p>
        </w:tc>
      </w:tr>
      <w:tr w14:paraId="231D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91" w:type="dxa"/>
            <w:vMerge w:val="restart"/>
            <w:vAlign w:val="center"/>
          </w:tcPr>
          <w:p w14:paraId="47A5647C">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鼓励内容</w:t>
            </w:r>
          </w:p>
        </w:tc>
        <w:tc>
          <w:tcPr>
            <w:tcW w:w="762" w:type="dxa"/>
            <w:vAlign w:val="center"/>
          </w:tcPr>
          <w:p w14:paraId="7ACF9DFE">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17</w:t>
            </w:r>
          </w:p>
        </w:tc>
        <w:tc>
          <w:tcPr>
            <w:tcW w:w="8515" w:type="dxa"/>
            <w:vAlign w:val="center"/>
          </w:tcPr>
          <w:p w14:paraId="337DBF69">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鼓励化妆品经营者采用信息化手段采集、保存经营信息，建立产品销售记录等有效措施确保产品可追溯。</w:t>
            </w:r>
          </w:p>
        </w:tc>
        <w:tc>
          <w:tcPr>
            <w:tcW w:w="5576" w:type="dxa"/>
            <w:vAlign w:val="center"/>
          </w:tcPr>
          <w:p w14:paraId="371B048E">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《化妆品监督管理条例》第九条；《化妆品生产经营监督管理办法》第六条</w:t>
            </w:r>
            <w:r>
              <w:rPr>
                <w:rFonts w:hint="eastAsia" w:ascii="方正仿宋_GBK" w:hAnsi="方正仿宋_GBK" w:eastAsia="方正仿宋_GBK" w:cs="方正仿宋_GBK"/>
                <w:bCs/>
                <w:kern w:val="0"/>
                <w:sz w:val="18"/>
                <w:szCs w:val="18"/>
                <w:lang w:bidi="ar"/>
              </w:rPr>
              <w:t>。</w:t>
            </w:r>
          </w:p>
        </w:tc>
      </w:tr>
      <w:tr w14:paraId="2229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91" w:type="dxa"/>
            <w:vMerge w:val="continue"/>
            <w:vAlign w:val="center"/>
          </w:tcPr>
          <w:p w14:paraId="4D4FDDA1">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p>
        </w:tc>
        <w:tc>
          <w:tcPr>
            <w:tcW w:w="762" w:type="dxa"/>
            <w:vAlign w:val="center"/>
          </w:tcPr>
          <w:p w14:paraId="0FCB4650">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18</w:t>
            </w:r>
          </w:p>
        </w:tc>
        <w:tc>
          <w:tcPr>
            <w:tcW w:w="8515" w:type="dxa"/>
            <w:vAlign w:val="center"/>
          </w:tcPr>
          <w:p w14:paraId="6F546744">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lang w:bidi="ar"/>
              </w:rPr>
              <w:t>鼓励化妆品经营者分区陈列儿童化妆品，在销售区域公示儿童化妆品标志。</w:t>
            </w:r>
          </w:p>
        </w:tc>
        <w:tc>
          <w:tcPr>
            <w:tcW w:w="5576" w:type="dxa"/>
            <w:vAlign w:val="center"/>
          </w:tcPr>
          <w:p w14:paraId="4D43BC27">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仿宋_GBK" w:hAnsi="方正仿宋_GBK" w:eastAsia="方正仿宋_GBK" w:cs="方正仿宋_GBK"/>
                <w:bCs/>
                <w:kern w:val="0"/>
                <w:sz w:val="18"/>
                <w:szCs w:val="18"/>
              </w:rPr>
            </w:pPr>
            <w:r>
              <w:rPr>
                <w:rFonts w:hint="eastAsia" w:ascii="方正仿宋_GBK" w:hAnsi="方正仿宋_GBK" w:eastAsia="方正仿宋_GBK" w:cs="方正仿宋_GBK"/>
                <w:bCs/>
                <w:kern w:val="0"/>
                <w:sz w:val="18"/>
                <w:szCs w:val="18"/>
              </w:rPr>
              <w:t>《儿童化妆品监督管理规定》第十四条</w:t>
            </w:r>
            <w:r>
              <w:rPr>
                <w:rFonts w:hint="eastAsia" w:ascii="方正仿宋_GBK" w:hAnsi="方正仿宋_GBK" w:eastAsia="方正仿宋_GBK" w:cs="方正仿宋_GBK"/>
                <w:bCs/>
                <w:kern w:val="0"/>
                <w:sz w:val="18"/>
                <w:szCs w:val="18"/>
                <w:lang w:bidi="ar"/>
              </w:rPr>
              <w:t>。</w:t>
            </w:r>
          </w:p>
        </w:tc>
      </w:tr>
    </w:tbl>
    <w:p w14:paraId="39EEC666">
      <w:pPr>
        <w:keepNext w:val="0"/>
        <w:keepLines w:val="0"/>
        <w:pageBreakBefore w:val="0"/>
        <w:widowControl w:val="0"/>
        <w:kinsoku/>
        <w:wordWrap/>
        <w:overflowPunct/>
        <w:topLinePunct w:val="0"/>
        <w:autoSpaceDE/>
        <w:autoSpaceDN/>
        <w:bidi w:val="0"/>
        <w:adjustRightInd/>
        <w:snapToGrid/>
        <w:spacing w:line="40" w:lineRule="exact"/>
        <w:ind w:left="0" w:leftChars="0" w:right="0" w:rightChars="0" w:firstLine="0" w:firstLineChars="0"/>
        <w:jc w:val="both"/>
        <w:textAlignment w:val="auto"/>
        <w:outlineLvl w:val="9"/>
        <w:rPr>
          <w:rFonts w:ascii="Times New Roman" w:hAnsi="Times New Roman"/>
        </w:rPr>
      </w:pPr>
    </w:p>
    <w:sectPr>
      <w:footerReference r:id="rId5" w:type="default"/>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E76AE">
    <w:pPr>
      <w:pStyle w:val="7"/>
      <w:rPr>
        <w:rFonts w:ascii="宋体" w:hAnsi="宋体" w:cs="宋体"/>
        <w:b/>
        <w:bCs/>
        <w:color w:val="005192"/>
        <w:sz w:val="28"/>
        <w:szCs w:val="44"/>
      </w:rPr>
    </w:pPr>
    <w:r>
      <w:rPr>
        <w:color w:val="FAFAFA"/>
        <w:sz w:val="32"/>
      </w:rPr>
      <w:pict>
        <v:line id="直接连接符 5" o:spid="_x0000_s4098" o:spt="20" style="position:absolute;left:0pt;margin-left:0pt;margin-top:17.4pt;height:0.15pt;width:442.25pt;z-index:251659264;mso-width-relative:page;mso-height-relative:page;" o:preferrelative="t" stroked="t" coordsize="21600,21600">
          <v:path arrowok="t"/>
          <v:fill focussize="0,0"/>
          <v:stroke weight="1.75pt" color="#005192" miterlimit="2"/>
          <v:imagedata o:title=""/>
          <o:lock v:ext="edit"/>
        </v:line>
      </w:pict>
    </w:r>
    <w:r>
      <w:rPr>
        <w:sz w:val="32"/>
      </w:rPr>
      <w:pict>
        <v:rect id="文本框 8" o:spid="_x0000_s4099" o:spt="1" style="position:absolute;left:0pt;margin-top:0pt;height:144pt;width:144pt;mso-position-horizontal:outside;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14:paraId="2CF673BB">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rect>
      </w:pict>
    </w:r>
    <w:r>
      <w:rPr>
        <w:rFonts w:hint="eastAsia" w:ascii="宋体" w:hAnsi="宋体" w:cs="宋体"/>
        <w:b/>
        <w:bCs/>
        <w:color w:val="005192"/>
        <w:sz w:val="28"/>
        <w:szCs w:val="44"/>
      </w:rPr>
      <w:t xml:space="preserve">                                                               </w:t>
    </w:r>
  </w:p>
  <w:p w14:paraId="1832A30D">
    <w:pPr>
      <w:pStyle w:val="7"/>
      <w:ind w:left="2736" w:leftChars="895" w:hanging="857" w:hangingChars="305"/>
      <w:rPr>
        <w:rFonts w:ascii="宋体" w:hAnsi="宋体" w:cs="宋体"/>
        <w:b/>
        <w:bCs/>
        <w:color w:val="005192"/>
        <w:sz w:val="28"/>
        <w:szCs w:val="44"/>
      </w:rPr>
    </w:pPr>
    <w:r>
      <w:rPr>
        <w:rFonts w:hint="eastAsia" w:ascii="宋体" w:hAnsi="宋体" w:cs="宋体"/>
        <w:b/>
        <w:bCs/>
        <w:color w:val="005192"/>
        <w:sz w:val="28"/>
        <w:szCs w:val="44"/>
      </w:rPr>
      <w:t xml:space="preserve">                 重庆市药品监督管理局办公室发布  </w:t>
    </w:r>
  </w:p>
  <w:p w14:paraId="13EA6563">
    <w:pPr>
      <w:pStyle w:val="7"/>
      <w:wordWrap w:val="0"/>
      <w:ind w:left="4788" w:leftChars="2280" w:firstLine="5622" w:firstLineChars="2000"/>
      <w:jc w:val="right"/>
      <w:rPr>
        <w:rFonts w:ascii="宋体" w:hAnsi="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1D2E7">
    <w:pPr>
      <w:pStyle w:val="7"/>
      <w:pBdr>
        <w:bottom w:val="none" w:color="auto" w:sz="0" w:space="0"/>
      </w:pBdr>
      <w:ind w:right="640"/>
      <w:rPr>
        <w:rFonts w:ascii="宋体" w:hAnsi="宋体" w:cs="宋体"/>
        <w:b/>
        <w:bCs/>
        <w:color w:val="005192"/>
        <w:sz w:val="28"/>
        <w:szCs w:val="44"/>
      </w:rPr>
    </w:pPr>
    <w:r>
      <w:rPr>
        <w:color w:val="FAFAFA"/>
        <w:sz w:val="32"/>
      </w:rPr>
      <w:pict>
        <v:line id="_x0000_s4108" o:spid="_x0000_s4108" o:spt="20" style="position:absolute;left:0pt;margin-left:0pt;margin-top:18.15pt;height:0pt;width:697.9pt;z-index:251659264;mso-width-relative:page;mso-height-relative:page;" o:preferrelative="t" stroked="t" coordsize="21600,21600">
          <v:path arrowok="t"/>
          <v:fill focussize="0,0"/>
          <v:stroke weight="1.75pt" color="#005192" miterlimit="2"/>
          <v:imagedata o:title=""/>
          <o:lock v:ext="edit"/>
        </v:line>
      </w:pict>
    </w:r>
    <w:r>
      <w:rPr>
        <w:sz w:val="32"/>
      </w:rPr>
      <w:pict>
        <v:rect id="_x0000_s4109" o:spid="_x0000_s4109" o:spt="1" style="position:absolute;left:0pt;margin-top:0pt;height:144pt;width:144pt;mso-position-horizontal:outside;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14:paraId="107F4502">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64</w:t>
                </w:r>
                <w:r>
                  <w:rPr>
                    <w:rFonts w:hint="eastAsia" w:ascii="宋体" w:hAnsi="宋体" w:cs="宋体"/>
                    <w:sz w:val="28"/>
                    <w:szCs w:val="28"/>
                  </w:rPr>
                  <w:fldChar w:fldCharType="end"/>
                </w:r>
              </w:p>
            </w:txbxContent>
          </v:textbox>
        </v:rect>
      </w:pict>
    </w:r>
    <w:r>
      <w:rPr>
        <w:rFonts w:hint="eastAsia" w:ascii="宋体" w:hAnsi="宋体" w:cs="宋体"/>
        <w:b/>
        <w:bCs/>
        <w:color w:val="005192"/>
        <w:sz w:val="28"/>
        <w:szCs w:val="44"/>
      </w:rPr>
      <w:t xml:space="preserve">                                                                                                                                              </w:t>
    </w:r>
  </w:p>
  <w:p w14:paraId="216AB49F">
    <w:pPr>
      <w:pStyle w:val="7"/>
      <w:rPr>
        <w:rFonts w:ascii="宋体" w:hAnsi="宋体" w:cs="宋体"/>
        <w:b/>
        <w:bCs/>
        <w:color w:val="005192"/>
        <w:sz w:val="28"/>
        <w:szCs w:val="44"/>
      </w:rPr>
    </w:pPr>
    <w:r>
      <w:rPr>
        <w:rFonts w:ascii="宋体" w:hAnsi="宋体" w:cs="宋体"/>
        <w:b/>
        <w:bCs/>
        <w:color w:val="005192"/>
        <w:sz w:val="28"/>
        <w:szCs w:val="44"/>
      </w:rPr>
      <w:t xml:space="preserve">     </w:t>
    </w:r>
    <w:r>
      <w:rPr>
        <w:rFonts w:hint="eastAsia" w:ascii="宋体" w:hAnsi="宋体" w:cs="宋体"/>
        <w:b/>
        <w:bCs/>
        <w:color w:val="005192"/>
        <w:sz w:val="28"/>
        <w:szCs w:val="44"/>
      </w:rPr>
      <w:t xml:space="preserve">             </w:t>
    </w:r>
    <w:r>
      <w:rPr>
        <w:rFonts w:ascii="宋体" w:hAnsi="宋体" w:cs="宋体"/>
        <w:b/>
        <w:bCs/>
        <w:color w:val="005192"/>
        <w:sz w:val="28"/>
        <w:szCs w:val="44"/>
      </w:rPr>
      <w:t xml:space="preserve"> </w:t>
    </w:r>
    <w:r>
      <w:rPr>
        <w:rFonts w:hint="eastAsia" w:ascii="宋体" w:hAnsi="宋体" w:cs="宋体"/>
        <w:b/>
        <w:bCs/>
        <w:color w:val="005192"/>
        <w:sz w:val="28"/>
        <w:szCs w:val="44"/>
      </w:rPr>
      <w:t xml:space="preserve">                                     </w:t>
    </w:r>
    <w:r>
      <w:rPr>
        <w:rFonts w:ascii="宋体" w:hAnsi="宋体" w:cs="宋体"/>
        <w:b/>
        <w:bCs/>
        <w:color w:val="005192"/>
        <w:sz w:val="28"/>
        <w:szCs w:val="44"/>
      </w:rPr>
      <w:t xml:space="preserve">      </w:t>
    </w:r>
    <w:r>
      <w:rPr>
        <w:rFonts w:hint="eastAsia" w:ascii="宋体" w:hAnsi="宋体" w:cs="宋体"/>
        <w:b/>
        <w:bCs/>
        <w:color w:val="005192"/>
        <w:sz w:val="28"/>
        <w:szCs w:val="44"/>
      </w:rPr>
      <w:t xml:space="preserve">    </w:t>
    </w:r>
    <w:r>
      <w:rPr>
        <w:rFonts w:ascii="宋体" w:hAnsi="宋体" w:cs="宋体"/>
        <w:b/>
        <w:bCs/>
        <w:color w:val="005192"/>
        <w:sz w:val="28"/>
        <w:szCs w:val="44"/>
      </w:rPr>
      <w:t xml:space="preserve"> </w:t>
    </w:r>
    <w:r>
      <w:rPr>
        <w:rFonts w:hint="eastAsia" w:ascii="宋体" w:hAnsi="宋体" w:cs="宋体"/>
        <w:b/>
        <w:bCs/>
        <w:color w:val="005192"/>
        <w:sz w:val="28"/>
        <w:szCs w:val="44"/>
      </w:rPr>
      <w:t xml:space="preserve">重庆市药品监督管理局会办公室发布 </w:t>
    </w:r>
  </w:p>
  <w:p w14:paraId="4A324E38">
    <w:pPr>
      <w:pStyle w:val="7"/>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9500B">
    <w:pPr>
      <w:pStyle w:val="7"/>
      <w:textAlignment w:val="center"/>
      <w:rPr>
        <w:rFonts w:ascii="方正仿宋_GBK" w:hAnsi="方正仿宋_GBK" w:eastAsia="方正仿宋_GBK" w:cs="方正仿宋_GBK"/>
        <w:b/>
        <w:bCs/>
        <w:color w:val="000000"/>
        <w:sz w:val="32"/>
      </w:rPr>
    </w:pPr>
    <w:r>
      <w:rPr>
        <w:rFonts w:ascii="方正仿宋_GBK" w:hAnsi="方正仿宋_GBK" w:eastAsia="方正仿宋_GBK" w:cs="方正仿宋_GBK"/>
        <w:b/>
        <w:bCs/>
        <w:color w:val="000000"/>
        <w:sz w:val="32"/>
      </w:rPr>
      <w:pict>
        <v:line id="直接连接符 4" o:spid="_x0000_s4097" o:spt="20" style="position:absolute;left:0pt;margin-left:-0.05pt;margin-top:54.35pt;height:0.05pt;width:442.55pt;z-index:251659264;mso-width-relative:page;mso-height-relative:page;" o:preferrelative="t" stroked="t" coordsize="21600,21600">
          <v:path arrowok="t"/>
          <v:fill focussize="0,0"/>
          <v:stroke weight="1.75pt" color="#005192" miterlimit="2"/>
          <v:imagedata o:title=""/>
          <o:lock v:ext="edit"/>
        </v:line>
      </w:pict>
    </w:r>
  </w:p>
  <w:p w14:paraId="4139562D">
    <w:pPr>
      <w:pStyle w:val="7"/>
      <w:textAlignment w:val="center"/>
      <w:rPr>
        <w:rFonts w:ascii="宋体" w:hAnsi="宋体" w:cs="宋体"/>
        <w:b/>
        <w:bCs/>
        <w:color w:val="005192"/>
        <w:sz w:val="32"/>
        <w:szCs w:val="32"/>
      </w:rPr>
    </w:pPr>
    <w:r>
      <w:rPr>
        <w:rFonts w:ascii="宋体" w:hAnsi="宋体" w:cs="宋体"/>
        <w:b/>
        <w:bCs/>
        <w:color w:val="005192"/>
        <w:sz w:val="32"/>
      </w:rPr>
      <w:pict>
        <v:shape id="_x0000_i1025" o:spt="75" type="#_x0000_t75" style="height:24pt;width:24pt;" filled="f" o:preferrelative="t" stroked="f" coordsize="21600,21600">
          <v:path/>
          <v:fill on="f" focussize="0,0"/>
          <v:stroke on="f" joinstyle="miter"/>
          <v:imagedata r:id="rId1" o:title=""/>
          <o:lock v:ext="edit" aspectratio="t"/>
          <w10:wrap type="none"/>
          <w10:anchorlock/>
        </v:shape>
      </w:pict>
    </w:r>
    <w:r>
      <w:rPr>
        <w:rFonts w:hint="eastAsia" w:ascii="宋体" w:hAnsi="宋体" w:cs="宋体"/>
        <w:b/>
        <w:bCs/>
        <w:color w:val="005192"/>
        <w:sz w:val="32"/>
        <w:szCs w:val="32"/>
      </w:rPr>
      <w:t>重庆市药品监督管理局规范性文件</w:t>
    </w:r>
  </w:p>
  <w:p w14:paraId="1892DB8F">
    <w:pPr>
      <w:pStyle w:val="7"/>
      <w:textAlignment w:val="center"/>
      <w:rPr>
        <w:rFonts w:ascii="宋体" w:hAnsi="宋体" w:cs="宋体"/>
        <w:b/>
        <w:bCs/>
        <w:color w:val="00519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A4F56"/>
    <w:multiLevelType w:val="multilevel"/>
    <w:tmpl w:val="205A4F56"/>
    <w:lvl w:ilvl="0" w:tentative="0">
      <w:start w:val="1"/>
      <w:numFmt w:val="decimal"/>
      <w:pStyle w:val="2"/>
      <w:suff w:val="space"/>
      <w:lvlText w:val="%1"/>
      <w:lvlJc w:val="left"/>
      <w:pPr>
        <w:ind w:left="0" w:firstLine="0"/>
      </w:pPr>
      <w:rPr>
        <w:rFonts w:hint="default" w:ascii="Times New Roman" w:hAnsi="Times New Roman"/>
        <w:b/>
        <w:i w:val="0"/>
        <w:sz w:val="30"/>
        <w:szCs w:val="24"/>
      </w:rPr>
    </w:lvl>
    <w:lvl w:ilvl="1" w:tentative="0">
      <w:start w:val="1"/>
      <w:numFmt w:val="decimal"/>
      <w:pStyle w:val="3"/>
      <w:suff w:val="space"/>
      <w:lvlText w:val="%1.%2"/>
      <w:lvlJc w:val="left"/>
      <w:pPr>
        <w:ind w:left="0" w:firstLine="0"/>
      </w:pPr>
      <w:rPr>
        <w:rFonts w:hint="default" w:ascii="Times New Roman" w:hAnsi="Times New Roman"/>
        <w:b/>
        <w:i w:val="0"/>
        <w:sz w:val="28"/>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snapToGrid w:val="0"/>
        <w:color w:val="auto"/>
        <w:kern w:val="0"/>
        <w:sz w:val="28"/>
        <w:szCs w:val="24"/>
        <w:u w:val="none"/>
      </w:rPr>
    </w:lvl>
    <w:lvl w:ilvl="3" w:tentative="0">
      <w:start w:val="1"/>
      <w:numFmt w:val="decimal"/>
      <w:lvlText w:val="%1.%2.%3.%4"/>
      <w:lvlJc w:val="left"/>
      <w:pPr>
        <w:tabs>
          <w:tab w:val="left" w:pos="851"/>
        </w:tabs>
        <w:ind w:left="851" w:hanging="851"/>
      </w:pPr>
      <w:rPr>
        <w:rFonts w:hint="default" w:ascii="Times New Roman" w:hAnsi="Times New Roman"/>
        <w:b w:val="0"/>
        <w:i w:val="0"/>
        <w:sz w:val="28"/>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I0ZjJmNWE5MzAyZDFlMGIyZDJkNDdlMTdlNGM1MTcifQ=="/>
  </w:docVars>
  <w:rsids>
    <w:rsidRoot w:val="00172A27"/>
    <w:rsid w:val="000F6FD3"/>
    <w:rsid w:val="00172A27"/>
    <w:rsid w:val="001F2323"/>
    <w:rsid w:val="00227257"/>
    <w:rsid w:val="002633D9"/>
    <w:rsid w:val="0034158C"/>
    <w:rsid w:val="003A5D7B"/>
    <w:rsid w:val="004A0888"/>
    <w:rsid w:val="004C14E8"/>
    <w:rsid w:val="006306CC"/>
    <w:rsid w:val="0093212B"/>
    <w:rsid w:val="009B0A83"/>
    <w:rsid w:val="00B63156"/>
    <w:rsid w:val="019E71BD"/>
    <w:rsid w:val="049A1735"/>
    <w:rsid w:val="04B679C3"/>
    <w:rsid w:val="05F07036"/>
    <w:rsid w:val="06E00104"/>
    <w:rsid w:val="077A3730"/>
    <w:rsid w:val="080F63D8"/>
    <w:rsid w:val="09341458"/>
    <w:rsid w:val="098254C2"/>
    <w:rsid w:val="0A766EDE"/>
    <w:rsid w:val="0AD64BE8"/>
    <w:rsid w:val="0B0912D7"/>
    <w:rsid w:val="0BE23A13"/>
    <w:rsid w:val="0E025194"/>
    <w:rsid w:val="0F6A5035"/>
    <w:rsid w:val="1357175D"/>
    <w:rsid w:val="152D2DCA"/>
    <w:rsid w:val="171F6119"/>
    <w:rsid w:val="187168EA"/>
    <w:rsid w:val="196673CA"/>
    <w:rsid w:val="198E7102"/>
    <w:rsid w:val="1A3113BA"/>
    <w:rsid w:val="1CF734C9"/>
    <w:rsid w:val="1DEC284C"/>
    <w:rsid w:val="1E4E59B9"/>
    <w:rsid w:val="1E6523AC"/>
    <w:rsid w:val="22440422"/>
    <w:rsid w:val="22BB4BBB"/>
    <w:rsid w:val="241B1988"/>
    <w:rsid w:val="24735DA9"/>
    <w:rsid w:val="25545C7B"/>
    <w:rsid w:val="2AEB3417"/>
    <w:rsid w:val="2B533A8E"/>
    <w:rsid w:val="30CF522D"/>
    <w:rsid w:val="31A15F24"/>
    <w:rsid w:val="36FB1DF0"/>
    <w:rsid w:val="37A62A7C"/>
    <w:rsid w:val="395347B5"/>
    <w:rsid w:val="39A232A0"/>
    <w:rsid w:val="39CD0D64"/>
    <w:rsid w:val="39E745AA"/>
    <w:rsid w:val="3B5A6BBB"/>
    <w:rsid w:val="3EDA13A6"/>
    <w:rsid w:val="4115579D"/>
    <w:rsid w:val="417B75E9"/>
    <w:rsid w:val="42F058B7"/>
    <w:rsid w:val="436109F6"/>
    <w:rsid w:val="441A38D4"/>
    <w:rsid w:val="4504239D"/>
    <w:rsid w:val="468102D8"/>
    <w:rsid w:val="48F11ADE"/>
    <w:rsid w:val="4BC77339"/>
    <w:rsid w:val="4C9236C5"/>
    <w:rsid w:val="4E0A3DCF"/>
    <w:rsid w:val="4E250A85"/>
    <w:rsid w:val="4FFD4925"/>
    <w:rsid w:val="505C172E"/>
    <w:rsid w:val="506405EA"/>
    <w:rsid w:val="52F46F0B"/>
    <w:rsid w:val="532B6A10"/>
    <w:rsid w:val="53D8014D"/>
    <w:rsid w:val="5557FB7C"/>
    <w:rsid w:val="55E064E0"/>
    <w:rsid w:val="572C6D10"/>
    <w:rsid w:val="5C2D7CEE"/>
    <w:rsid w:val="5D673077"/>
    <w:rsid w:val="5D74644D"/>
    <w:rsid w:val="5DC34279"/>
    <w:rsid w:val="5FCD688E"/>
    <w:rsid w:val="5FF9BDAA"/>
    <w:rsid w:val="608816D1"/>
    <w:rsid w:val="60EF4E7F"/>
    <w:rsid w:val="648B0A32"/>
    <w:rsid w:val="649753A5"/>
    <w:rsid w:val="665233C1"/>
    <w:rsid w:val="68C91527"/>
    <w:rsid w:val="69AC0D42"/>
    <w:rsid w:val="69AE7C10"/>
    <w:rsid w:val="6AD9688B"/>
    <w:rsid w:val="6D0E3F22"/>
    <w:rsid w:val="72FD42D3"/>
    <w:rsid w:val="744E4660"/>
    <w:rsid w:val="753355A2"/>
    <w:rsid w:val="759F1C61"/>
    <w:rsid w:val="75A75EC4"/>
    <w:rsid w:val="769F2DE8"/>
    <w:rsid w:val="76FDEB7C"/>
    <w:rsid w:val="79C65162"/>
    <w:rsid w:val="7C9011D9"/>
    <w:rsid w:val="7DC651C5"/>
    <w:rsid w:val="7FCC2834"/>
    <w:rsid w:val="92DD1CEF"/>
    <w:rsid w:val="F05B4F69"/>
    <w:rsid w:val="F7BFB385"/>
    <w:rsid w:val="F97D9566"/>
    <w:rsid w:val="FBBD8DC5"/>
    <w:rsid w:val="FBBF148D"/>
    <w:rsid w:val="FDFF411C"/>
    <w:rsid w:val="FFFB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numPr>
        <w:ilvl w:val="0"/>
        <w:numId w:val="1"/>
      </w:numPr>
      <w:jc w:val="left"/>
      <w:outlineLvl w:val="0"/>
    </w:pPr>
    <w:rPr>
      <w:rFonts w:eastAsia="黑体"/>
      <w:b/>
      <w:bCs/>
      <w:szCs w:val="32"/>
    </w:rPr>
  </w:style>
  <w:style w:type="paragraph" w:styleId="3">
    <w:name w:val="heading 2"/>
    <w:basedOn w:val="1"/>
    <w:next w:val="1"/>
    <w:qFormat/>
    <w:uiPriority w:val="0"/>
    <w:pPr>
      <w:numPr>
        <w:ilvl w:val="1"/>
        <w:numId w:val="1"/>
      </w:numPr>
      <w:jc w:val="left"/>
      <w:outlineLvl w:val="1"/>
    </w:pPr>
    <w:rPr>
      <w:b/>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link w:val="20"/>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qFormat/>
    <w:uiPriority w:val="0"/>
    <w:rPr>
      <w:rFonts w:eastAsia="宋体"/>
      <w:sz w:val="18"/>
    </w:rPr>
  </w:style>
  <w:style w:type="character" w:styleId="14">
    <w:name w:val="FollowedHyperlink"/>
    <w:unhideWhenUsed/>
    <w:qFormat/>
    <w:uiPriority w:val="99"/>
    <w:rPr>
      <w:color w:val="800080"/>
      <w:u w:val="single"/>
    </w:rPr>
  </w:style>
  <w:style w:type="character" w:styleId="15">
    <w:name w:val="Hyperlink"/>
    <w:unhideWhenUsed/>
    <w:qFormat/>
    <w:uiPriority w:val="99"/>
    <w:rPr>
      <w:color w:val="0000FF"/>
      <w:u w:val="single"/>
    </w:rPr>
  </w:style>
  <w:style w:type="character" w:styleId="16">
    <w:name w:val="annotation reference"/>
    <w:qFormat/>
    <w:uiPriority w:val="0"/>
    <w:rPr>
      <w:rFonts w:ascii="Tahoma" w:hAnsi="Tahoma"/>
      <w:b/>
      <w:sz w:val="21"/>
      <w:szCs w:val="21"/>
    </w:rPr>
  </w:style>
  <w:style w:type="paragraph" w:customStyle="1" w:styleId="17">
    <w:name w:val="p0"/>
    <w:basedOn w:val="1"/>
    <w:qFormat/>
    <w:uiPriority w:val="0"/>
    <w:pPr>
      <w:widowControl/>
    </w:pPr>
    <w:rPr>
      <w:rFonts w:cs="宋体"/>
      <w:kern w:val="0"/>
      <w:szCs w:val="32"/>
    </w:rPr>
  </w:style>
  <w:style w:type="paragraph" w:customStyle="1" w:styleId="18">
    <w:name w:val="Table Paragraph"/>
    <w:basedOn w:val="1"/>
    <w:qFormat/>
    <w:uiPriority w:val="1"/>
  </w:style>
  <w:style w:type="paragraph" w:customStyle="1" w:styleId="19">
    <w:name w:val="列出段落1"/>
    <w:basedOn w:val="1"/>
    <w:qFormat/>
    <w:uiPriority w:val="34"/>
    <w:pPr>
      <w:ind w:firstLine="420" w:firstLineChars="200"/>
    </w:pPr>
  </w:style>
  <w:style w:type="character" w:customStyle="1" w:styleId="20">
    <w:name w:val="页脚 Char"/>
    <w:link w:val="6"/>
    <w:qFormat/>
    <w:uiPriority w:val="99"/>
    <w:rPr>
      <w:rFonts w:ascii="Calibri" w:hAnsi="Calibri" w:cs="黑体"/>
      <w:kern w:val="2"/>
      <w:sz w:val="18"/>
      <w:szCs w:val="24"/>
    </w:rPr>
  </w:style>
  <w:style w:type="paragraph" w:customStyle="1" w:styleId="21">
    <w:name w:val="font5"/>
    <w:basedOn w:val="1"/>
    <w:qFormat/>
    <w:uiPriority w:val="0"/>
    <w:pPr>
      <w:widowControl/>
      <w:spacing w:before="100" w:beforeAutospacing="1" w:after="100" w:afterAutospacing="1"/>
      <w:jc w:val="left"/>
    </w:pPr>
    <w:rPr>
      <w:rFonts w:ascii="方正仿宋_GBK" w:hAnsi="宋体" w:eastAsia="方正仿宋_GBK" w:cs="宋体"/>
      <w:kern w:val="0"/>
      <w:sz w:val="20"/>
      <w:szCs w:val="20"/>
    </w:rPr>
  </w:style>
  <w:style w:type="paragraph" w:customStyle="1" w:styleId="22">
    <w:name w:val="font6"/>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23">
    <w:name w:val="font7"/>
    <w:basedOn w:val="1"/>
    <w:qFormat/>
    <w:uiPriority w:val="0"/>
    <w:pPr>
      <w:widowControl/>
      <w:spacing w:before="100" w:beforeAutospacing="1" w:after="100" w:afterAutospacing="1"/>
      <w:jc w:val="left"/>
    </w:pPr>
    <w:rPr>
      <w:rFonts w:ascii="方正仿宋_GBK" w:hAnsi="宋体" w:eastAsia="方正仿宋_GBK" w:cs="宋体"/>
      <w:color w:val="000000"/>
      <w:kern w:val="0"/>
      <w:sz w:val="20"/>
      <w:szCs w:val="20"/>
    </w:rPr>
  </w:style>
  <w:style w:type="paragraph" w:customStyle="1" w:styleId="24">
    <w:name w:val="font8"/>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kern w:val="0"/>
      <w:sz w:val="20"/>
      <w:szCs w:val="20"/>
    </w:rPr>
  </w:style>
  <w:style w:type="paragraph" w:customStyle="1" w:styleId="26">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2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sz w:val="20"/>
      <w:szCs w:val="20"/>
    </w:rPr>
  </w:style>
  <w:style w:type="paragraph" w:customStyle="1" w:styleId="2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sz w:val="20"/>
      <w:szCs w:val="20"/>
    </w:rPr>
  </w:style>
  <w:style w:type="paragraph" w:customStyle="1" w:styleId="3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6"/>
      <w:szCs w:val="36"/>
    </w:rPr>
  </w:style>
  <w:style w:type="paragraph" w:customStyle="1" w:styleId="3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
    <w:name w:val="xl72"/>
    <w:basedOn w:val="1"/>
    <w:qFormat/>
    <w:uiPriority w:val="0"/>
    <w:pPr>
      <w:widowControl/>
      <w:spacing w:before="100" w:beforeAutospacing="1" w:after="100" w:afterAutospacing="1"/>
      <w:jc w:val="center"/>
    </w:pPr>
    <w:rPr>
      <w:rFonts w:ascii="方正小标宋简体" w:hAnsi="宋体" w:eastAsia="方正小标宋简体" w:cs="宋体"/>
      <w:kern w:val="0"/>
      <w:sz w:val="40"/>
      <w:szCs w:val="40"/>
    </w:rPr>
  </w:style>
  <w:style w:type="paragraph" w:customStyle="1" w:styleId="33">
    <w:name w:val="xl73"/>
    <w:basedOn w:val="1"/>
    <w:qFormat/>
    <w:uiPriority w:val="0"/>
    <w:pPr>
      <w:widowControl/>
      <w:spacing w:before="100" w:beforeAutospacing="1" w:after="100" w:afterAutospacing="1"/>
      <w:jc w:val="left"/>
    </w:pPr>
    <w:rPr>
      <w:rFonts w:ascii="方正小标宋简体" w:hAnsi="宋体" w:eastAsia="方正小标宋简体" w:cs="宋体"/>
      <w:kern w:val="0"/>
      <w:sz w:val="40"/>
      <w:szCs w:val="40"/>
    </w:rPr>
  </w:style>
  <w:style w:type="character" w:customStyle="1" w:styleId="34">
    <w:name w:val="16"/>
    <w:qFormat/>
    <w:uiPriority w:val="0"/>
    <w:rPr>
      <w:rFonts w:hint="default" w:ascii="Times New Roman" w:hAnsi="Times New Roman" w:cs="Times New Roman"/>
      <w:b/>
      <w:sz w:val="28"/>
    </w:rPr>
  </w:style>
  <w:style w:type="paragraph" w:customStyle="1" w:styleId="35">
    <w:name w:val="普通(网站) Char"/>
    <w:basedOn w:val="1"/>
    <w:qFormat/>
    <w:uiPriority w:val="0"/>
    <w:pPr>
      <w:spacing w:before="100" w:beforeAutospacing="1" w:after="100" w:afterAutospacing="1"/>
      <w:jc w:val="left"/>
    </w:pPr>
    <w:rPr>
      <w:rFonts w:hint="eastAsia" w:ascii="宋体" w:hAnsi="宋体" w:eastAsia="宋体"/>
      <w:kern w:val="0"/>
      <w:sz w:val="24"/>
    </w:rPr>
  </w:style>
  <w:style w:type="paragraph" w:customStyle="1" w:styleId="36">
    <w:name w:val="Table Text"/>
    <w:basedOn w:val="1"/>
    <w:semiHidden/>
    <w:qFormat/>
    <w:uiPriority w:val="0"/>
    <w:rPr>
      <w:rFonts w:ascii="宋体" w:hAnsi="宋体" w:eastAsia="宋体" w:cs="宋体"/>
      <w:sz w:val="24"/>
      <w:lang w:eastAsia="en-US"/>
    </w:rPr>
  </w:style>
  <w:style w:type="paragraph" w:customStyle="1" w:styleId="37">
    <w:name w:val="p24"/>
    <w:basedOn w:val="1"/>
    <w:qFormat/>
    <w:uiPriority w:val="0"/>
    <w:pPr>
      <w:jc w:val="left"/>
    </w:pPr>
    <w:rPr>
      <w:rFonts w:hint="eastAsia" w:ascii="宋体" w:hAnsi="宋体" w:eastAsia="宋体"/>
      <w:kern w:val="0"/>
      <w:sz w:val="24"/>
      <w:szCs w:val="24"/>
    </w:rPr>
  </w:style>
  <w:style w:type="paragraph" w:customStyle="1" w:styleId="38">
    <w:name w:val="样式1"/>
    <w:basedOn w:val="1"/>
    <w:next w:val="1"/>
    <w:qFormat/>
    <w:uiPriority w:val="0"/>
    <w:pPr>
      <w:ind w:firstLine="602" w:firstLineChars="200"/>
    </w:pPr>
    <w:rPr>
      <w:rFonts w:ascii="仿宋" w:hAnsi="仿宋" w:eastAsia="仿宋"/>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8"/>
    <customShpInfo spid="_x0000_s410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cqda.gov.cn</Company>
  <Pages>182</Pages>
  <Words>19623</Words>
  <Characters>19766</Characters>
  <Lines>586</Lines>
  <Paragraphs>165</Paragraphs>
  <TotalTime>6</TotalTime>
  <ScaleCrop>false</ScaleCrop>
  <LinksUpToDate>false</LinksUpToDate>
  <CharactersWithSpaces>19829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吆不倒台。</cp:lastModifiedBy>
  <cp:lastPrinted>2025-03-31T10:41:00Z</cp:lastPrinted>
  <dcterms:modified xsi:type="dcterms:W3CDTF">2025-10-31T11:17:10Z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48C61CB29D3F4D9384F5922CF0F7FFB4</vt:lpwstr>
  </property>
  <property fmtid="{D5CDD505-2E9C-101B-9397-08002B2CF9AE}" pid="4" name="KSOTemplateDocerSaveRecord">
    <vt:lpwstr>eyJoZGlkIjoiOTFmYWRiNjM0Y2U4MzNmYjI5NzlkODZlMDdkZjc1NDciLCJ1c2VySWQiOiIyMTY3ODk2NzIifQ==</vt:lpwstr>
  </property>
</Properties>
</file>